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7889182b3c4da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fe7d4d5d64df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spacing w:after="160"/>
            </w:pPr>
            <w:r>
              <w:rPr>
                <w:rStyle w:val="row-content-rich-text"/>
              </w:rPr>
              <w:t xml:space="preserve">The indicator is an underestimate of all possible unplanned/unexpected readmissions because:</w:t>
            </w:r>
          </w:p>
          <w:p>
            <w:pPr>
              <w:pStyle w:val="ListParagraph"/>
              <w:numPr>
                <w:ilvl w:val="0"/>
                <w:numId w:val="2"/>
              </w:numPr>
            </w:pPr>
            <w:r>
              <w:rPr>
                <w:rStyle w:val="row-content-rich-text"/>
              </w:rPr>
              <w:t xml:space="preserve">it could only be calculated for public hospitals and for readmissions to the same hospital.</w:t>
            </w:r>
          </w:p>
          <w:p>
            <w:pPr>
              <w:pStyle w:val="ListParagraph"/>
              <w:numPr>
                <w:ilvl w:val="0"/>
                <w:numId w:val="2"/>
              </w:numPr>
            </w:pPr>
            <w:r>
              <w:rPr>
                <w:rStyle w:val="row-content-rich-text"/>
              </w:rPr>
              <w:t xml:space="preserve">episodes of non-admitted patient care provided in outpatient clinics or emergency departments which may have been related to a previous admission are not included.</w:t>
            </w:r>
          </w:p>
          <w:p>
            <w:pPr>
              <w:pStyle w:val="ListParagraph"/>
              <w:numPr>
                <w:ilvl w:val="0"/>
                <w:numId w:val="2"/>
              </w:numPr>
            </w:pPr>
            <w:r>
              <w:rPr>
                <w:rStyle w:val="row-content-rich-text"/>
              </w:rPr>
              <w:t xml:space="preserve">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spacing w:after="160"/>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spacing w:after="160"/>
            </w:pPr>
            <w:r>
              <w:rPr>
                <w:rStyle w:val="row-content-rich-text"/>
              </w:rPr>
              <w:t xml:space="preserve">Variations in admission practices and policies lead to variation among providers in the number of admissions for some conditions.</w:t>
            </w:r>
          </w:p>
          <w:p>
            <w:pPr/>
            <w:r>
              <w:rPr>
                <w:rStyle w:val="row-content-rich-text"/>
              </w:rPr>
              <w:t xml:space="preserve">Socio-Economic Indexes for Areas (SEIFA) data for 2011–12 are not directly comparable with SEIFA data from previous reporting cycles.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portfolio, which is accountable to the Parliament of Australia through the Minister.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Data for the NHMD were supplied to the AIHW by state and territory health authorities under the terms of the National Health Information Agreement (see the following links):</w:t>
            </w:r>
          </w:p>
          <w:p>
            <w:hyperlink w:history="true" r:id="R770a38b3a8504259">
              <w:r>
                <w:rPr>
                  <w:rStyle w:val="Hyperlink"/>
                </w:rPr>
                <w:t xml:space="preserve">http://www.aihw.gov.au/nhissc/</w:t>
              </w:r>
            </w:hyperlink>
          </w:p>
          <w:p>
            <w:hyperlink w:history="true" r:id="R13fc69ee2fa34b11">
              <w:r>
                <w:rPr>
                  <w:rStyle w:val="Hyperlink"/>
                </w:rPr>
                <w:t xml:space="preserve">/content/index.phtml/itemId/182135</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 </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spacing w:after="160"/>
            </w:pPr>
            <w:r>
              <w:rPr>
                <w:rStyle w:val="row-content-rich-text"/>
              </w:rPr>
              <w:t xml:space="preserve">These products may be accessed on the AIHW website at: </w:t>
            </w:r>
          </w:p>
          <w:p>
            <w:hyperlink w:history="true" r:id="R595effdb6a264d51">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NHMD are published annually in </w:t>
            </w:r>
            <w:r>
              <w:rPr>
                <w:rStyle w:val="row-content-rich-text"/>
                <w:i/>
              </w:rPr>
              <w:t xml:space="preserve">Australian hospital statistics </w:t>
            </w:r>
            <w:r>
              <w:rPr>
                <w:rStyle w:val="row-content-rich-text"/>
              </w:rPr>
              <w:t xml:space="preserve">(technical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National Minimum Data Set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7720b7e073c44635">
              <w:r>
                <w:rPr>
                  <w:rStyle w:val="Hyperlink"/>
                </w:rPr>
                <w:t xml:space="preserve">http://www.aihw.gov.au/publication-detail/?id=10737422826</w:t>
              </w:r>
            </w:hyperlink>
          </w:p>
          <w:p>
            <w:pPr>
              <w:spacing w:after="160"/>
            </w:pPr>
            <w:r>
              <w:rPr>
                <w:rStyle w:val="row-content-rich-text"/>
              </w:rPr>
              <w:t xml:space="preserve">The Data Quality Statement for the National Hospital Morbidity Database can be accessed on the AIHW website at:</w:t>
            </w:r>
          </w:p>
          <w:p>
            <w:hyperlink w:history="true" r:id="R6aabb346ca284a0d">
              <w:r>
                <w:rPr>
                  <w:rStyle w:val="Hyperlink"/>
                </w:rPr>
                <w:t xml:space="preserve">/content/index.phtml/itemId/529483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2011 Census data and represent the attributes of the population in that SLA in 2011.</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With regard to hysterectomy, there are three related procedures that are not defined for the indicator, and therefore have not been included in any Natio</w:t>
            </w:r>
            <w:r>
              <w:rPr>
                <w:rStyle w:val="row-content-rich-text"/>
                <w:i/>
              </w:rPr>
              <w:t xml:space="preserve">nal Healthcare Agreement</w:t>
            </w:r>
            <w:r>
              <w:rPr>
                <w:rStyle w:val="row-content-rich-text"/>
              </w:rPr>
              <w:t xml:space="preserve"> (NHA) reporting (all years). These are (in ICD-10-AM 7th edition), 35750-00—Laparoscopically assisted vaginal hysterectomy; 35753-02—Laprascopically assisted vaginal hysterectomy with removal of adnexa; and 35653-00—Subtotal abdominal hysterectomy. For public hospitals, there were 1,743 separations in 2011–12 and 1,627 separations in 2010–11 that  involved one of these procedures.</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2011–12, almost all public hospitals provided data for the NHMD. The exception was a mothercraft hospital in the Australian Capital Territory.</w:t>
            </w:r>
          </w:p>
          <w:p>
            <w:pPr>
              <w:spacing w:after="160"/>
            </w:pPr>
            <w:r>
              <w:rPr>
                <w:rStyle w:val="row-content-rich-text"/>
              </w:rPr>
              <w:t xml:space="preserve">The majority of private hospitals provided data, with the exception of the private day hospital facilities in the Australian Capital Territory and the Northern Territory.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AIHW report </w:t>
            </w:r>
            <w:r>
              <w:rPr>
                <w:rStyle w:val="row-content-rich-text"/>
                <w:i/>
              </w:rPr>
              <w:t xml:space="preserve">Indigenous identification in hospital separations data: quality report</w:t>
            </w:r>
            <w:r>
              <w:rPr>
                <w:rStyle w:val="row-content-rich-text"/>
              </w:rPr>
              <w:t xml:space="preserve"> (AIHW 2013) found that nationally, about 88 per cent of Indigenous Australians were identified correctly in hospital admissions data in the 2011–12 study period, and the ‘true’ number of separations for Indigenous Australians was about 9 per cent higher than reported. The report recommended that the data for all jurisdictions are used in analysis of Indigenous hospitalisation rates, for hospitalisations in total in national analyses of Indigenous admitted patient care. However, these data should be interpreted with caution as there is variation among jurisdictions in the quality of the Indigenous status data.</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Western Australia Health.</w:t>
            </w:r>
          </w:p>
          <w:p>
            <w:pPr>
              <w:spacing w:after="160"/>
            </w:pPr>
            <w:r>
              <w:rPr>
                <w:rStyle w:val="row-content-rich-text"/>
              </w:rPr>
              <w:t xml:space="preserve">To calculate this indicator, readmissions within the 2011–12 financial year had to be linked to an initial separation (which involved the specified surgery) that occurred within the 2011–12 financial year. The 19 May was specified as the cut-off date for the initial separation to exclude initial separations from the denominator for which a readmission may occur in the following financial year. The use of the cut-off date ensures that the numerator and denominator for this indicator are consistent.</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p>
          <w:p>
            <w:pPr>
              <w:pStyle w:val="ListParagraph"/>
              <w:numPr>
                <w:ilvl w:val="0"/>
                <w:numId w:val="4"/>
              </w:numPr>
            </w:pPr>
            <w:r>
              <w:rPr>
                <w:rStyle w:val="row-content-rich-text"/>
              </w:rPr>
              <w:t xml:space="preserve">Rates were suppressed where the numerator was zero and the denominator was less than 200.</w:t>
            </w:r>
          </w:p>
          <w:p>
            <w:pPr>
              <w:pStyle w:val="ListParagraph"/>
              <w:numPr>
                <w:ilvl w:val="0"/>
                <w:numId w:val="4"/>
              </w:numPr>
            </w:pPr>
            <w:r>
              <w:rPr>
                <w:rStyle w:val="row-content-rich-text"/>
              </w:rPr>
              <w:t xml:space="preserve">Counts were suppressed when the number was less than 5.</w:t>
            </w:r>
          </w:p>
          <w:p>
            <w:pPr/>
            <w:r>
              <w:rPr>
                <w:rStyle w:val="row-content-rich-text"/>
              </w:rPr>
              <w:t xml:space="preserve">Data for private hospitals in Tasmania, Australian Capital Territory and the Northern Territory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2011–12</w:t>
            </w:r>
            <w:r>
              <w:rPr>
                <w:rStyle w:val="row-content-rich-text"/>
              </w:rPr>
              <w:t xml:space="preserve"> and the </w:t>
            </w:r>
            <w:r>
              <w:rPr>
                <w:rStyle w:val="row-content-rich-text"/>
                <w:i/>
              </w:rPr>
              <w:t xml:space="preserve">National healthcare agreement: performance report 2011–12</w:t>
            </w:r>
            <w:r>
              <w:rPr>
                <w:rStyle w:val="row-content-rich-text"/>
              </w:rPr>
              <w:t xml:space="preserve">.</w:t>
            </w:r>
          </w:p>
          <w:p>
            <w:pPr>
              <w:spacing w:after="160"/>
            </w:pPr>
            <w:r>
              <w:rPr>
                <w:rStyle w:val="row-content-rich-text"/>
              </w:rPr>
              <w:t xml:space="preserve">The data can be meaningfully compared across reference periods for all jurisdictions.</w:t>
            </w:r>
          </w:p>
          <w:p>
            <w:pPr>
              <w:spacing w:after="160"/>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is not comparable to 2008–09, 2009–10 and 2010–11, and data for 2011–12 and subsequent years are not comparable with data for 2010–11 and prior years.  </w:t>
            </w:r>
          </w:p>
          <w:p>
            <w:pPr/>
            <w:r>
              <w:rPr>
                <w:rStyle w:val="row-content-rich-text"/>
              </w:rPr>
              <w:t xml:space="preserve">In 2011, the ABS updated the Socio-Economic Indices for Areas (SEIFA), based on the 2011 ABS Census of Population and Housing.  The new SEIFA will be referred to as SEIFA 2011, and the previous SEIFA as SEIFA 2006.  Data for 2007–08 through to 2010–11 reported for SEIFA quintiles are reported using SEIFA 2006 at the Statistical Local Area (SLA) level.  Data for 2011–12 are reported using SEIFA 2011 at the SLA level.  The AIHW consider the change from SEIFA 2006 to SEIFA 2011 to be a series break when applied to data supplied for this indicator, therefore SEIFA data for 2011–12 are not directly comparable with SEIFA data from previous reporting cycles.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a00f31e6a44b06">
              <w:r>
                <w:rPr>
                  <w:rStyle w:val="Hyperlink"/>
                </w:rPr>
                <w:t xml:space="preserve">National Healthcare Agreement: PI 23-Unplanned hospital readmission rates, 2013 QS</w:t>
              </w:r>
            </w:hyperlink>
          </w:p>
          <w:p>
            <w:pPr>
              <w:spacing w:before="0" w:after="0"/>
            </w:pPr>
            <w:r>
              <w:rPr>
                <w:rStyle w:val="row-content"/>
                <w:color w:val="244061"/>
              </w:rPr>
              <w:t xml:space="preserve">       </w:t>
            </w:r>
            <w:hyperlink w:history="true" r:id="R7bcc46a32fb547eb">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0d30d0e89a54841">
              <w:r>
                <w:rPr>
                  <w:rStyle w:val="Hyperlink"/>
                </w:rPr>
                <w:t xml:space="preserve">National Healthcare Agreement: PI 23-Unplanned hospital readmission rates, 2015 QS</w:t>
              </w:r>
            </w:hyperlink>
          </w:p>
          <w:p>
            <w:pPr>
              <w:spacing w:before="0" w:after="0"/>
            </w:pPr>
            <w:r>
              <w:rPr>
                <w:rStyle w:val="row-content"/>
                <w:color w:val="244061"/>
              </w:rPr>
              <w:t xml:space="preserve">       </w:t>
            </w:r>
            <w:hyperlink w:history="true" r:id="R131576454d8143f5">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1f35d6067e44ffe">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18120cca60d9472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19e17c85eb15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bb26102f8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17c85eb1544f9" /><Relationship Type="http://schemas.openxmlformats.org/officeDocument/2006/relationships/header" Target="/word/header1.xml" Id="R35cc50a3645d4336" /><Relationship Type="http://schemas.openxmlformats.org/officeDocument/2006/relationships/settings" Target="/word/settings.xml" Id="R467b5507def6433a" /><Relationship Type="http://schemas.openxmlformats.org/officeDocument/2006/relationships/styles" Target="/word/styles.xml" Id="R6dc531d48ab243c4" /><Relationship Type="http://schemas.openxmlformats.org/officeDocument/2006/relationships/hyperlink" Target="https://meteor.aihw.gov.au/RegistrationAuthority/12" TargetMode="External" Id="R9dbfe7d4d5d64df8" /><Relationship Type="http://schemas.openxmlformats.org/officeDocument/2006/relationships/numbering" Target="/word/numbering.xml" Id="Rd623a0440d344094" /><Relationship Type="http://schemas.openxmlformats.org/officeDocument/2006/relationships/hyperlink" Target="http://www.aihw.gov.au/nhissc/" TargetMode="External" Id="R770a38b3a8504259" /><Relationship Type="http://schemas.openxmlformats.org/officeDocument/2006/relationships/hyperlink" Target="https://meteor.aihw.gov.au/content/182135" TargetMode="External" Id="R13fc69ee2fa34b11" /><Relationship Type="http://schemas.openxmlformats.org/officeDocument/2006/relationships/hyperlink" Target="http://www.aihw.gov.au/hospitals/" TargetMode="External" Id="R595effdb6a264d51" /><Relationship Type="http://schemas.openxmlformats.org/officeDocument/2006/relationships/hyperlink" Target="http://www.aihw.gov.au/publication-detail/?id=10737422826" TargetMode="External" Id="R7720b7e073c44635" /><Relationship Type="http://schemas.openxmlformats.org/officeDocument/2006/relationships/hyperlink" Target="https://meteor.aihw.gov.au/content/529483" TargetMode="External" Id="R6aabb346ca284a0d" /><Relationship Type="http://schemas.openxmlformats.org/officeDocument/2006/relationships/hyperlink" Target="https://meteor.aihw.gov.au/content/507456" TargetMode="External" Id="R47a00f31e6a44b06" /><Relationship Type="http://schemas.openxmlformats.org/officeDocument/2006/relationships/hyperlink" Target="https://meteor.aihw.gov.au/RegistrationAuthority/12" TargetMode="External" Id="R7bcc46a32fb547eb" /><Relationship Type="http://schemas.openxmlformats.org/officeDocument/2006/relationships/hyperlink" Target="https://meteor.aihw.gov.au/content/559099" TargetMode="External" Id="R00d30d0e89a54841" /><Relationship Type="http://schemas.openxmlformats.org/officeDocument/2006/relationships/hyperlink" Target="https://meteor.aihw.gov.au/RegistrationAuthority/12" TargetMode="External" Id="R131576454d8143f5" /><Relationship Type="http://schemas.openxmlformats.org/officeDocument/2006/relationships/hyperlink" Target="https://meteor.aihw.gov.au/content/517634" TargetMode="External" Id="R61f35d6067e44ffe" /><Relationship Type="http://schemas.openxmlformats.org/officeDocument/2006/relationships/hyperlink" Target="https://meteor.aihw.gov.au/RegistrationAuthority/12" TargetMode="External" Id="R18120cca60d94723" /></Relationships>
</file>

<file path=word/_rels/header1.xml.rels>&#65279;<?xml version="1.0" encoding="utf-8"?><Relationships xmlns="http://schemas.openxmlformats.org/package/2006/relationships"><Relationship Type="http://schemas.openxmlformats.org/officeDocument/2006/relationships/image" Target="/media/image.png" Id="Raf7bb26102f84fae" /></Relationships>
</file>