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2dbd71a1814d7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2014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9c8b7c40444e17">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spacing w:after="160"/>
            </w:pPr>
            <w:r>
              <w:rPr>
                <w:rStyle w:val="row-content-rich-text"/>
              </w:rPr>
              <w:t xml:space="preserve">The indicator as presented is a proxy measure based on available data items in the NHMD. The indicator is not a count of patient days used by those eligible (as assessed and approved by an Aged Care Assessment Team (ACAT)) and waiting for residential aged care. The indicator as presented is the number of patient days (and proportion of all patient days) used by patients where the care type is 'Maintenance', a diagnosis was reported as 'Person awaiting admission to residential aged care service' and the separation mode was not 'Other (includes discharge to place of usual residence)'.</w:t>
            </w:r>
          </w:p>
          <w:p>
            <w:pPr>
              <w:spacing w:after="160"/>
            </w:pPr>
            <w:r>
              <w:rPr>
                <w:rStyle w:val="row-content-rich-text"/>
              </w:rPr>
              <w:t xml:space="preserve">There is some variation among jurisdictions in the assignment of care type categories, this may impart reflect measurement and definitional differences across jurisdictions.</w:t>
            </w:r>
          </w:p>
          <w:p>
            <w:pPr>
              <w:spacing w:after="160"/>
            </w:pPr>
            <w:r>
              <w:rPr>
                <w:rStyle w:val="row-content-rich-text"/>
              </w:rPr>
              <w:t xml:space="preserve">Numerators for remoteness and socioeconomic status are based on the reported area of usual residence of the patient, regardless of the jurisdiction of hospital. This is relevant if significant numbers of one jurisdiction’s residents are treated in another jurisdiction.</w:t>
            </w:r>
          </w:p>
          <w:p>
            <w:pPr>
              <w:spacing w:after="160"/>
            </w:pPr>
            <w:r>
              <w:rPr>
                <w:rStyle w:val="row-content-rich-text"/>
              </w:rPr>
              <w:t xml:space="preserve">Interpretation of rates for jurisdictions should take into consideration cross-border flows, particularly in the Australian Capital Territory.</w:t>
            </w:r>
          </w:p>
          <w:p>
            <w:pPr/>
            <w:r>
              <w:rPr>
                <w:rStyle w:val="row-content-rich-text"/>
              </w:rPr>
              <w:t xml:space="preserve">Socio-Economic Indexes for Areas (SEIFA) data for 2011–12 are not directly comparable with SEIFA data from previous reporting cycles.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69ba19dadc4408d">
              <w:r>
                <w:rPr>
                  <w:rStyle w:val="Hyperlink"/>
                </w:rPr>
                <w:t xml:space="preserve">www.aihw.gov.au</w:t>
              </w:r>
            </w:hyperlink>
            <w:r>
              <w:rPr>
                <w:rStyle w:val="row-content-rich-text"/>
              </w:rPr>
              <w:t xml:space="preserve">.</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58391312399c4132">
              <w:r>
                <w:rPr>
                  <w:rStyle w:val="Hyperlink"/>
                </w:rPr>
                <w:t xml:space="preserve">http://www.aihw.gov.au/nhissc/</w:t>
              </w:r>
            </w:hyperlink>
          </w:p>
          <w:p>
            <w:hyperlink w:history="true" r:id="R6e0c961ea5954269">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2"/>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2"/>
              </w:numPr>
            </w:pPr>
            <w:r>
              <w:rPr>
                <w:rStyle w:val="row-content-rich-text"/>
              </w:rPr>
              <w:t xml:space="preserve">interactive data cubes for Admitted patient care (for Principal diagnoses, Procedures and Diagnosis Related Groups).</w:t>
            </w:r>
          </w:p>
          <w:p>
            <w:pPr>
              <w:spacing w:after="160"/>
            </w:pPr>
            <w:r>
              <w:rPr>
                <w:rStyle w:val="row-content-rich-text"/>
              </w:rPr>
              <w:t xml:space="preserve">These products may be accessed on the AIHW website at: </w:t>
            </w:r>
          </w:p>
          <w:p>
            <w:hyperlink w:history="true" r:id="R973f889eaf1c4b63">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Australian hospital statistics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National Minimum Data Set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7dcb34dcc9974787">
              <w:r>
                <w:rPr>
                  <w:rStyle w:val="Hyperlink"/>
                </w:rPr>
                <w:t xml:space="preserve">http://www.aihw.gov.au/publication-detail/?id=10737422826</w:t>
              </w:r>
            </w:hyperlink>
          </w:p>
          <w:p>
            <w:pPr>
              <w:spacing w:after="160"/>
            </w:pPr>
            <w:r>
              <w:rPr>
                <w:rStyle w:val="row-content-rich-text"/>
              </w:rPr>
              <w:t xml:space="preserve">The Data Quality Statement for the National Hospital Morbidity Database can be accessed on the AIHW website at:</w:t>
            </w:r>
          </w:p>
          <w:p>
            <w:hyperlink w:history="true" r:id="Rbdb502af93d846ae">
              <w:r>
                <w:rPr>
                  <w:rStyle w:val="Hyperlink"/>
                </w:rPr>
                <w:t xml:space="preserve">/content/index.phtml/itemId/529483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This indicator is a proxy indicator.</w:t>
            </w:r>
          </w:p>
          <w:p>
            <w:pPr>
              <w:spacing w:after="160"/>
            </w:pPr>
            <w:r>
              <w:rPr>
                <w:rStyle w:val="row-content-rich-text"/>
              </w:rPr>
              <w:t xml:space="preserve">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spacing w:after="160"/>
            </w:pPr>
            <w:r>
              <w:rPr>
                <w:rStyle w:val="row-content-rich-text"/>
              </w:rPr>
              <w:t xml:space="preserve">The SEIFA scores for each SLA are derived from 2011 Census data and represent the attributes of the population in that SLA in 2011.</w:t>
            </w:r>
          </w:p>
          <w:p>
            <w:pPr>
              <w:spacing w:after="160"/>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The AIHW consider the change from SEIFA 2006 to SEIFA 2011 to be a series break when applied to data supplied for this indicator, therefore SEIFA data for 2011–12 are not directly comparable with SEIFA data from previous reporting cycles.</w:t>
            </w:r>
          </w:p>
          <w:p>
            <w:pPr>
              <w:spacing w:after="160"/>
            </w:pPr>
            <w:r>
              <w:rPr>
                <w:rStyle w:val="row-content-rich-text"/>
              </w:rPr>
              <w:t xml:space="preserve">Patient days are reported by jurisdiction of hospitalisation, regardless of the jurisdiction of residence. Hence, rates represent the number of patient days for patients living in each remoteness area or SEIFA population group (regardless of their jurisdiction of usual residence) divided by the total number of patient days for patients living in that remoteness area or SEIFA population group hospitalised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2011–12,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There is some variation among jurisdictions in the assignment of care type categories, this may impart reflect measurement and definitional differences across jurisdictions.</w:t>
            </w:r>
          </w:p>
          <w:p>
            <w:pPr>
              <w:spacing w:after="160"/>
            </w:pPr>
            <w:r>
              <w:rPr>
                <w:rStyle w:val="row-content-rich-text"/>
              </w:rPr>
              <w:t xml:space="preserve">The NHMD does not include data on ACAT assessments.</w:t>
            </w:r>
          </w:p>
          <w:p>
            <w:pPr>
              <w:spacing w:after="160"/>
            </w:pPr>
            <w:r>
              <w:rPr>
                <w:rStyle w:val="row-content-rich-text"/>
              </w:rPr>
              <w:t xml:space="preserve">The AIHW report </w:t>
            </w:r>
            <w:r>
              <w:rPr>
                <w:rStyle w:val="row-content-rich-text"/>
                <w:i/>
              </w:rPr>
              <w:t xml:space="preserve">Indigenous identification in hospital separations data: quality report</w:t>
            </w:r>
            <w:r>
              <w:rPr>
                <w:rStyle w:val="row-content-rich-text"/>
              </w:rPr>
              <w:t xml:space="preserve"> (AIHW 2013) found that nationally, about 88 per cent of Indigenous Australians were identified correctly in hospital admissions data in the 2011–12 study period, and the ‘true’ number of separations for Indigenous Australians was about 9 per cent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3"/>
              </w:numPr>
            </w:pPr>
            <w:r>
              <w:rPr>
                <w:rStyle w:val="row-content-rich-text"/>
              </w:rPr>
              <w:t xml:space="preserve">Counts less than 3 were suppressed.</w:t>
            </w:r>
          </w:p>
          <w:p>
            <w:pPr>
              <w:pStyle w:val="ListParagraph"/>
              <w:numPr>
                <w:ilvl w:val="0"/>
                <w:numId w:val="3"/>
              </w:numPr>
            </w:pPr>
            <w:r>
              <w:rPr>
                <w:rStyle w:val="row-content-rich-text"/>
              </w:rPr>
              <w:t xml:space="preserve">Rates were suppressed where the numerator was less than 5 and/or the denominator was less than 1,000. </w:t>
            </w:r>
          </w:p>
          <w:p>
            <w:pPr>
              <w:pStyle w:val="ListParagraph"/>
              <w:numPr>
                <w:ilvl w:val="0"/>
                <w:numId w:val="3"/>
              </w:numPr>
            </w:pPr>
            <w:r>
              <w:rPr>
                <w:rStyle w:val="row-content-rich-text"/>
              </w:rPr>
              <w:t xml:space="preserve">Rates which appear misleading (for example, because of cross border flows) were also suppressed.</w:t>
            </w:r>
          </w:p>
          <w:p>
            <w:pPr>
              <w:pStyle w:val="ListParagraph"/>
              <w:numPr>
                <w:ilvl w:val="0"/>
                <w:numId w:val="3"/>
              </w:numPr>
            </w:pPr>
            <w:r>
              <w:rPr>
                <w:rStyle w:val="row-content-rich-text"/>
              </w:rPr>
              <w:t xml:space="preserve">Consequential suppression was applied where appropriate to protect confidentiality.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2011–12</w:t>
            </w:r>
            <w:r>
              <w:rPr>
                <w:rStyle w:val="row-content-rich-text"/>
              </w:rPr>
              <w:t xml:space="preserve">.</w:t>
            </w:r>
          </w:p>
          <w:p>
            <w:pPr>
              <w:spacing w:after="160"/>
            </w:pPr>
            <w:r>
              <w:rPr>
                <w:rStyle w:val="row-content-rich-text"/>
              </w:rPr>
              <w:t xml:space="preserve">The data can be meaningfully compared across reference periods for all jurisdictions except Tasmania. Data for Tasmania for 2008–09 does not include two private hospitals that were included in 2007–08 and 2009–10 data reported in National Healthcare Agreement reports.</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9b014af70e408c">
              <w:r>
                <w:rPr>
                  <w:rStyle w:val="Hyperlink"/>
                </w:rPr>
                <w:t xml:space="preserve">National Healthcare Agreement: PI 27-Number of hospital patient days used by those eligible and waiting for residential aged care, 2013 QS</w:t>
              </w:r>
            </w:hyperlink>
          </w:p>
          <w:p>
            <w:pPr>
              <w:spacing w:before="0" w:after="0"/>
            </w:pPr>
            <w:r>
              <w:rPr>
                <w:rStyle w:val="row-content"/>
                <w:color w:val="244061"/>
              </w:rPr>
              <w:t xml:space="preserve">       </w:t>
            </w:r>
            <w:hyperlink w:history="true" r:id="Ra8b857149c66446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e990280b673e4b0d">
              <w:r>
                <w:rPr>
                  <w:rStyle w:val="Hyperlink"/>
                </w:rPr>
                <w:t xml:space="preserve">National Healthcare Agreement: PI 27-Number of hospital patient days used by those eligible and waiting for residential aged care, 2015 QS</w:t>
              </w:r>
            </w:hyperlink>
          </w:p>
          <w:p>
            <w:pPr>
              <w:spacing w:before="0" w:after="0"/>
            </w:pPr>
            <w:r>
              <w:rPr>
                <w:rStyle w:val="row-content"/>
                <w:color w:val="244061"/>
              </w:rPr>
              <w:t xml:space="preserve">       </w:t>
            </w:r>
            <w:hyperlink w:history="true" r:id="Rccd96d0d93e646da">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d5c2d1d4c4b477f">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6c910c4669fa402a">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93a8fa9c69bd46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ab7583d22145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a8fa9c69bd46db" /><Relationship Type="http://schemas.openxmlformats.org/officeDocument/2006/relationships/header" Target="/word/header1.xml" Id="R7a6f5c8b4dc74eee" /><Relationship Type="http://schemas.openxmlformats.org/officeDocument/2006/relationships/settings" Target="/word/settings.xml" Id="R46d31473c12c4611" /><Relationship Type="http://schemas.openxmlformats.org/officeDocument/2006/relationships/styles" Target="/word/styles.xml" Id="Rbd265185be6b4d2b" /><Relationship Type="http://schemas.openxmlformats.org/officeDocument/2006/relationships/hyperlink" Target="https://meteor.aihw.gov.au/RegistrationAuthority/12" TargetMode="External" Id="R3d9c8b7c40444e17" /><Relationship Type="http://schemas.openxmlformats.org/officeDocument/2006/relationships/hyperlink" Target="http://www.aihw.gov.au" TargetMode="External" Id="Re69ba19dadc4408d" /><Relationship Type="http://schemas.openxmlformats.org/officeDocument/2006/relationships/hyperlink" Target="http://www.aihw.gov.au/nhissc/" TargetMode="External" Id="R58391312399c4132" /><Relationship Type="http://schemas.openxmlformats.org/officeDocument/2006/relationships/hyperlink" Target="https://meteor.aihw.gov.au/content/182135" TargetMode="External" Id="R6e0c961ea5954269" /><Relationship Type="http://schemas.openxmlformats.org/officeDocument/2006/relationships/numbering" Target="/word/numbering.xml" Id="R8e62ce6d44d3472e" /><Relationship Type="http://schemas.openxmlformats.org/officeDocument/2006/relationships/hyperlink" Target="http://www.aihw.gov.au/hospitals/" TargetMode="External" Id="R973f889eaf1c4b63" /><Relationship Type="http://schemas.openxmlformats.org/officeDocument/2006/relationships/hyperlink" Target="http://www.aihw.gov.au/publication-detail/?id=10737422826" TargetMode="External" Id="R7dcb34dcc9974787" /><Relationship Type="http://schemas.openxmlformats.org/officeDocument/2006/relationships/hyperlink" Target="https://meteor.aihw.gov.au/content/529483" TargetMode="External" Id="Rbdb502af93d846ae" /><Relationship Type="http://schemas.openxmlformats.org/officeDocument/2006/relationships/hyperlink" Target="https://meteor.aihw.gov.au/content/507461" TargetMode="External" Id="Re59b014af70e408c" /><Relationship Type="http://schemas.openxmlformats.org/officeDocument/2006/relationships/hyperlink" Target="https://meteor.aihw.gov.au/RegistrationAuthority/12" TargetMode="External" Id="Ra8b857149c664461" /><Relationship Type="http://schemas.openxmlformats.org/officeDocument/2006/relationships/hyperlink" Target="https://meteor.aihw.gov.au/content/559092" TargetMode="External" Id="Re990280b673e4b0d" /><Relationship Type="http://schemas.openxmlformats.org/officeDocument/2006/relationships/hyperlink" Target="https://meteor.aihw.gov.au/RegistrationAuthority/12" TargetMode="External" Id="Rccd96d0d93e646da" /><Relationship Type="http://schemas.openxmlformats.org/officeDocument/2006/relationships/hyperlink" Target="https://meteor.aihw.gov.au/content/517660" TargetMode="External" Id="Rcd5c2d1d4c4b477f" /><Relationship Type="http://schemas.openxmlformats.org/officeDocument/2006/relationships/hyperlink" Target="https://meteor.aihw.gov.au/RegistrationAuthority/12" TargetMode="External" Id="R6c910c4669fa402a" /></Relationships>
</file>

<file path=word/_rels/header1.xml.rels>&#65279;<?xml version="1.0" encoding="utf-8"?><Relationships xmlns="http://schemas.openxmlformats.org/package/2006/relationships"><Relationship Type="http://schemas.openxmlformats.org/officeDocument/2006/relationships/image" Target="/media/image.png" Id="Raaab7583d221450a" /></Relationships>
</file>