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267d274fb42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3c386b28d415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spacing w:after="160"/>
            </w:pPr>
            <w:r>
              <w:rPr>
                <w:rStyle w:val="row-content-rich-text"/>
              </w:rPr>
              <w:t xml:space="preserve">Remoteness data for 2011–12 are not directly comparable to remoteness data for 2012–13 and subsequent years.</w:t>
            </w:r>
          </w:p>
          <w:p>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2"/>
              </w:numPr>
            </w:pPr>
            <w:r>
              <w:rPr>
                <w:rStyle w:val="row-content-rich-text"/>
              </w:rPr>
              <w:t xml:space="preserve">care placement offers that are not accepted</w:t>
            </w:r>
            <w:r>
              <w:br/>
            </w:r>
          </w:p>
          <w:p>
            <w:pPr>
              <w:pStyle w:val="ListParagraph"/>
              <w:numPr>
                <w:ilvl w:val="0"/>
                <w:numId w:val="2"/>
              </w:numPr>
            </w:pPr>
            <w:r>
              <w:rPr>
                <w:rStyle w:val="row-content-rich-text"/>
              </w:rPr>
              <w:t xml:space="preserve">the availability of alternative community care, informal care and respite services</w:t>
            </w:r>
            <w:r>
              <w:br/>
            </w:r>
          </w:p>
          <w:p>
            <w:pPr>
              <w:pStyle w:val="ListParagraph"/>
              <w:numPr>
                <w:ilvl w:val="0"/>
                <w:numId w:val="2"/>
              </w:numPr>
            </w:pPr>
            <w:r>
              <w:rPr>
                <w:rStyle w:val="row-content-rich-text"/>
              </w:rPr>
              <w:t xml:space="preserve">variations in care fee regimes that influence client choice of preferred service</w:t>
            </w:r>
            <w:r>
              <w:br/>
            </w:r>
          </w:p>
          <w:p>
            <w:pPr>
              <w:pStyle w:val="ListParagraph"/>
              <w:numPr>
                <w:ilvl w:val="0"/>
                <w:numId w:val="2"/>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spacing w:after="160"/>
            </w:pP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0.3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2012–13 data and 2011–12 data (supplied in the previous reporting cycle).</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3"/>
              </w:numPr>
            </w:pPr>
            <w:r>
              <w:rPr>
                <w:rStyle w:val="row-content-rich-text"/>
              </w:rPr>
              <w:t xml:space="preserve">Rates were suppressed where the numerator was less than 5 and/or the denominator was less than 10.</w:t>
            </w:r>
            <w:r>
              <w:br/>
            </w:r>
          </w:p>
          <w:p>
            <w:pPr>
              <w:pStyle w:val="ListParagraph"/>
              <w:numPr>
                <w:ilvl w:val="0"/>
                <w:numId w:val="3"/>
              </w:numPr>
            </w:pPr>
            <w:r>
              <w:rPr>
                <w:rStyle w:val="row-content-rich-text"/>
              </w:rPr>
              <w:t xml:space="preserve">Counts were suppressed when the number was less than 5.</w:t>
            </w:r>
            <w:r>
              <w:br/>
            </w:r>
          </w:p>
          <w:p>
            <w:pPr>
              <w:pStyle w:val="ListParagraph"/>
              <w:numPr>
                <w:ilvl w:val="0"/>
                <w:numId w:val="3"/>
              </w:numPr>
            </w:pPr>
            <w:r>
              <w:rPr>
                <w:rStyle w:val="row-content-rich-text"/>
              </w:rPr>
              <w:t xml:space="preserve">Consequential suppression was applied.</w:t>
            </w:r>
            <w:r>
              <w:br/>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(reported in the previous cycle) for SEIFA quintiles and deciles were reported using SEIFA 2006.  Data for 2012–13 (reported this cycle)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ef598150ce408c">
              <w:r>
                <w:rPr>
                  <w:rStyle w:val="Hyperlink"/>
                </w:rPr>
                <w:t xml:space="preserve">National Healthcare Agreement: PI 30-Elapsed time for aged care services, 2013 QS</w:t>
              </w:r>
            </w:hyperlink>
          </w:p>
          <w:p>
            <w:pPr>
              <w:spacing w:before="0" w:after="0"/>
            </w:pPr>
            <w:r>
              <w:rPr>
                <w:rStyle w:val="row-content"/>
                <w:color w:val="244061"/>
              </w:rPr>
              <w:t xml:space="preserve">       </w:t>
            </w:r>
            <w:hyperlink w:history="true" r:id="R1af42b2e667e4e6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9df7fc839534b05">
              <w:r>
                <w:rPr>
                  <w:rStyle w:val="Hyperlink"/>
                </w:rPr>
                <w:t xml:space="preserve">National Healthcare Agreement: PI 30-Elapsed time for aged care services, 2015 QS</w:t>
              </w:r>
            </w:hyperlink>
          </w:p>
          <w:p>
            <w:pPr>
              <w:spacing w:before="0" w:after="0"/>
            </w:pPr>
            <w:r>
              <w:rPr>
                <w:rStyle w:val="row-content"/>
                <w:color w:val="244061"/>
              </w:rPr>
              <w:t xml:space="preserve">       </w:t>
            </w:r>
            <w:hyperlink w:history="true" r:id="R5dd1e4b842d64bc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6ce48ba9d8b45fa">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fea614e3d2a4429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68ac4ccb944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1a4f7da46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ac4ccb9444043" /><Relationship Type="http://schemas.openxmlformats.org/officeDocument/2006/relationships/header" Target="/word/header1.xml" Id="Rc256aaf0d2da4529" /><Relationship Type="http://schemas.openxmlformats.org/officeDocument/2006/relationships/settings" Target="/word/settings.xml" Id="Re5604ffacb69435c" /><Relationship Type="http://schemas.openxmlformats.org/officeDocument/2006/relationships/styles" Target="/word/styles.xml" Id="R3586697fd0dd4b89" /><Relationship Type="http://schemas.openxmlformats.org/officeDocument/2006/relationships/hyperlink" Target="https://meteor.aihw.gov.au/RegistrationAuthority/12" TargetMode="External" Id="R6bc3c386b28d4150" /><Relationship Type="http://schemas.openxmlformats.org/officeDocument/2006/relationships/numbering" Target="/word/numbering.xml" Id="R69fbe7bc7f5b4a84" /><Relationship Type="http://schemas.openxmlformats.org/officeDocument/2006/relationships/hyperlink" Target="https://meteor.aihw.gov.au/content/502555" TargetMode="External" Id="R87ef598150ce408c" /><Relationship Type="http://schemas.openxmlformats.org/officeDocument/2006/relationships/hyperlink" Target="https://meteor.aihw.gov.au/RegistrationAuthority/12" TargetMode="External" Id="R1af42b2e667e4e64" /><Relationship Type="http://schemas.openxmlformats.org/officeDocument/2006/relationships/hyperlink" Target="https://meteor.aihw.gov.au/content/559088" TargetMode="External" Id="R99df7fc839534b05" /><Relationship Type="http://schemas.openxmlformats.org/officeDocument/2006/relationships/hyperlink" Target="https://meteor.aihw.gov.au/RegistrationAuthority/12" TargetMode="External" Id="R5dd1e4b842d64bc2" /><Relationship Type="http://schemas.openxmlformats.org/officeDocument/2006/relationships/hyperlink" Target="https://meteor.aihw.gov.au/content/517618" TargetMode="External" Id="R76ce48ba9d8b45fa" /><Relationship Type="http://schemas.openxmlformats.org/officeDocument/2006/relationships/hyperlink" Target="https://meteor.aihw.gov.au/RegistrationAuthority/12" TargetMode="External" Id="Rfea614e3d2a44294" /></Relationships>
</file>

<file path=word/_rels/header1.xml.rels>&#65279;<?xml version="1.0" encoding="utf-8"?><Relationships xmlns="http://schemas.openxmlformats.org/package/2006/relationships"><Relationship Type="http://schemas.openxmlformats.org/officeDocument/2006/relationships/image" Target="/media/image.png" Id="R7a81a4f7da4645a7" /></Relationships>
</file>