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7e45a4dda7418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completed within four hours,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completed within four hours,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completed within four hours,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96bbc469c4449c">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eded497ab66a46cc">
              <w:r>
                <w:rPr>
                  <w:rStyle w:val="Hyperlink"/>
                  <w:u w:val="single"/>
                </w:rPr>
                <w:t xml:space="preserve">emergency deparment stay</w:t>
              </w:r>
            </w:hyperlink>
            <w:r>
              <w:rPr>
                <w:rStyle w:val="row-content-rich-text"/>
              </w:rPr>
              <w:t xml:space="preserve">, is within four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a37e66e4bb4e8c">
              <w:r>
                <w:rPr>
                  <w:rStyle w:val="Hyperlink"/>
                </w:rPr>
                <w:t xml:space="preserve">National Healthcare Agreement (2014)</w:t>
              </w:r>
            </w:hyperlink>
          </w:p>
          <w:p>
            <w:pPr>
              <w:pStyle w:val="registration-status"/>
              <w:spacing w:before="0" w:after="0"/>
            </w:pPr>
            <w:hyperlink w:history="true" r:id="R4da0bd22f03a4fb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450760bff684116">
              <w:r>
                <w:rPr>
                  <w:rStyle w:val="Hyperlink"/>
                </w:rPr>
                <w:t xml:space="preserve">Hospital and Related Care</w:t>
              </w:r>
            </w:hyperlink>
          </w:p>
          <w:p>
            <w:pPr>
              <w:pStyle w:val="registration-status"/>
              <w:spacing w:before="0" w:after="0"/>
            </w:pPr>
            <w:hyperlink w:history="true" r:id="R11c85b16f5cd4962">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e3a1df1db309458a">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597ced7cdcd4754">
              <w:r>
                <w:rPr>
                  <w:rStyle w:val="Hyperlink"/>
                </w:rPr>
                <w:t xml:space="preserve">National Healthcare Agreement: PI 21b-Waiting times for emergency department care: proportion completed within four hours, 2014 QS</w:t>
              </w:r>
            </w:hyperlink>
          </w:p>
          <w:p>
            <w:pPr>
              <w:pStyle w:val="registration-status"/>
              <w:spacing w:before="0" w:after="0"/>
            </w:pPr>
            <w:hyperlink w:history="true" r:id="Rb4a0f6f69e9e4528">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as per the </w:t>
            </w:r>
            <w:hyperlink w:history="true" r:id="Rbfaa808ff5ad43f5">
              <w:r>
                <w:rPr>
                  <w:rStyle w:val="Hyperlink"/>
                </w:rPr>
                <w:t xml:space="preserve">Non-admitted patient emergency department care (NAPEDC) National Minimum Data Set (NMDS) 2012-13</w:t>
              </w:r>
            </w:hyperlink>
            <w:r>
              <w:rPr>
                <w:rStyle w:val="row-content-rich-text"/>
              </w:rPr>
              <w:t xml:space="preserve">.</w:t>
            </w:r>
          </w:p>
          <w:p>
            <w:pPr>
              <w:spacing w:after="160"/>
            </w:pPr>
            <w:r>
              <w:rPr>
                <w:rStyle w:val="row-content-rich-text"/>
              </w:rPr>
              <w:t xml:space="preserve">The scope for calculation of the National Emergency Access Target (NEAT) is all hospitals reporting to the NAPEDC NMDS (Peer Group A, B and other) as at August 2011 (when the National Health Reform Agreement - National Partnership Agreement on Improving Public Hospital Services was signed). For the duration of the agreement, hospitals that have not previously reported to the NAPEDC NMDS can come into scope, subject to agreement between the jursidiction and the Commonwealth.</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is less than zero</w:t>
            </w:r>
          </w:p>
          <w:p>
            <w:pPr>
              <w:pStyle w:val="ListParagraph"/>
              <w:numPr>
                <w:ilvl w:val="0"/>
                <w:numId w:val="2"/>
              </w:numPr>
            </w:pPr>
            <w:r>
              <w:rPr>
                <w:rStyle w:val="row-content-rich-text"/>
              </w:rPr>
              <w:t xml:space="preserve">Presentation date or time missing</w:t>
            </w:r>
          </w:p>
          <w:p>
            <w:pPr>
              <w:pStyle w:val="ListParagraph"/>
              <w:numPr>
                <w:ilvl w:val="0"/>
                <w:numId w:val="2"/>
              </w:numPr>
            </w:pPr>
            <w:r>
              <w:rPr>
                <w:rStyle w:val="row-content-rich-text"/>
              </w:rPr>
              <w:t xml:space="preserve">Physical departure date or time missing </w:t>
            </w:r>
          </w:p>
          <w:p>
            <w:pPr>
              <w:spacing w:after="160"/>
            </w:pPr>
            <w:r>
              <w:rPr>
                <w:rStyle w:val="row-content-rich-text"/>
              </w:rPr>
              <w:t xml:space="preserve">Calculation includes presentations with any type of visit to emergency department.</w:t>
            </w:r>
          </w:p>
          <w:p>
            <w:pPr>
              <w:spacing w:after="160"/>
            </w:pPr>
            <w:r>
              <w:rPr>
                <w:rStyle w:val="row-content-rich-text"/>
              </w:rPr>
              <w:t xml:space="preserve">Emergency department (ED) stay length is calculated by subtracting Time patient presents and Date patient presents from Emergency department physical departure time and date respectively, as per the business rules included in the NAPEDC NMDS 2012-13:</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notices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an emergency department physician certified the death of the patient outside the emergency department, then record the time the patient was certified dead.</w:t>
            </w:r>
          </w:p>
          <w:p>
            <w:pPr>
              <w:pStyle w:val="ListParagraph"/>
              <w:numPr>
                <w:ilvl w:val="0"/>
                <w:numId w:val="3"/>
              </w:numPr>
            </w:pPr>
            <w:r>
              <w:rPr>
                <w:rStyle w:val="row-content-rich-text"/>
              </w:rPr>
              <w:t xml:space="preserve">If the patient was dead on arrival, then record the time the body was removed from the emergency department.</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29026b58164055">
              <w:r>
                <w:rPr>
                  <w:rStyle w:val="Hyperlink"/>
                </w:rPr>
                <w:t xml:space="preserve">Emergency department stay—presentation date, DDMMYYYY</w:t>
              </w:r>
            </w:hyperlink>
          </w:p>
          <w:p>
            <w:r>
              <w:rPr>
                <w:rStyle w:val="row-content"/>
                <w:b/>
              </w:rPr>
              <w:t xml:space="preserve">Data Source</w:t>
            </w:r>
          </w:p>
          <w:p>
            <w:hyperlink w:history="true" r:id="Rb11c77cd8a9a4761">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115670832e14fb9">
              <w:r>
                <w:rPr>
                  <w:rStyle w:val="Hyperlink"/>
                </w:rPr>
                <w:t xml:space="preserve">Emergency department stay—presentation time, hhmm</w:t>
              </w:r>
            </w:hyperlink>
          </w:p>
          <w:p>
            <w:r>
              <w:rPr>
                <w:rStyle w:val="row-content"/>
                <w:b/>
              </w:rPr>
              <w:t xml:space="preserve">Data Source</w:t>
            </w:r>
          </w:p>
          <w:p>
            <w:hyperlink w:history="true" r:id="R9539f78883f14479">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219fcccac8474e">
              <w:r>
                <w:rPr>
                  <w:rStyle w:val="Hyperlink"/>
                </w:rPr>
                <w:t xml:space="preserve">Emergency department stay—physical departure date, DDMMYYYY</w:t>
              </w:r>
            </w:hyperlink>
          </w:p>
          <w:p>
            <w:r>
              <w:rPr>
                <w:rStyle w:val="row-content"/>
                <w:b/>
              </w:rPr>
              <w:t xml:space="preserve">Data Source</w:t>
            </w:r>
          </w:p>
          <w:p>
            <w:hyperlink w:history="true" r:id="R43193f7def914bf1">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d9899aae9f4fa4">
              <w:r>
                <w:rPr>
                  <w:rStyle w:val="Hyperlink"/>
                </w:rPr>
                <w:t xml:space="preserve">Emergency department stay—physical departure time, hhmm</w:t>
              </w:r>
            </w:hyperlink>
          </w:p>
          <w:p>
            <w:r>
              <w:rPr>
                <w:rStyle w:val="row-content"/>
                <w:b/>
              </w:rPr>
              <w:t xml:space="preserve">Data Source</w:t>
            </w:r>
          </w:p>
          <w:p>
            <w:hyperlink w:history="true" r:id="Racbc2abda17b47b6">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2de37c7ec247a1">
              <w:r>
                <w:rPr>
                  <w:rStyle w:val="Hyperlink"/>
                </w:rPr>
                <w:t xml:space="preserve">Person—person identifier, XXXXXX[X(14)]</w:t>
              </w:r>
            </w:hyperlink>
          </w:p>
          <w:p>
            <w:r>
              <w:rPr>
                <w:rStyle w:val="row-content"/>
                <w:b/>
              </w:rPr>
              <w:t xml:space="preserve">Data Source</w:t>
            </w:r>
          </w:p>
          <w:p>
            <w:hyperlink w:history="true" r:id="R9e87e6005bd04dfd">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2012-13—State/territory.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e3500fb4074839">
              <w:r>
                <w:rPr>
                  <w:rStyle w:val="Hyperlink"/>
                </w:rPr>
                <w:t xml:space="preserve">Establishment—organisation identifier (Australian), NNX[X]NNNNN</w:t>
              </w:r>
            </w:hyperlink>
          </w:p>
          <w:p>
            <w:r>
              <w:rPr>
                <w:rStyle w:val="row-content"/>
                <w:b/>
              </w:rPr>
              <w:t xml:space="preserve">Data Source</w:t>
            </w:r>
          </w:p>
          <w:p>
            <w:hyperlink w:history="true" r:id="R7f235805b6fd49d1">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w:t>
            </w:r>
          </w:p>
          <w:p>
            <w:pPr>
              <w:spacing w:after="160"/>
            </w:pPr>
            <w:r>
              <w:rPr>
                <w:rStyle w:val="row-content-rich-text"/>
              </w:rPr>
              <w:t xml:space="preserve">Information about the volume of invalid records will be included in data quality statements.</w:t>
            </w:r>
          </w:p>
          <w:p>
            <w:pPr/>
            <w:r>
              <w:rPr>
                <w:rStyle w:val="row-content-rich-text"/>
              </w:rPr>
              <w:t xml:space="preserve">The scope for calculation of the National Emergency Access Target (NEAT) is all hospitals reporting to the NAPEDC NMDS (Peer Group A, B and other) as at August 2011 (when the National Health Reform Agreement - National Partnership Agreement on Improving Public Hospital Services was signed). For the duration of the agreement, hospitals that have not previously reported to the NAPEDC NMDS can come into scope, subject to agreement between the jursidiction and the Commonwealth.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1d48efb3a144be7">
              <w:r>
                <w:rPr>
                  <w:rStyle w:val="Hyperlink"/>
                </w:rPr>
                <w:t xml:space="preserve">Accessibility</w:t>
              </w:r>
            </w:hyperlink>
            <w:r>
              <w:br/>
            </w:r>
            <w:r>
              <w:br/>
            </w:r>
          </w:p>
          <w:p>
            <w:hyperlink w:history="true" r:id="R7b85559622614a3e">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09698982bc4275">
              <w:r>
                <w:rPr>
                  <w:rStyle w:val="Hyperlink"/>
                </w:rPr>
                <w:t xml:space="preserve">National Emergency Access Target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569344f47f4d53">
              <w:r>
                <w:rPr>
                  <w:rStyle w:val="Hyperlink"/>
                </w:rPr>
                <w:t xml:space="preserve">National Healthcare Agreement: PI 21b-Waiting times for emergency hospital care: Proportion completed within four hours, 2013</w:t>
              </w:r>
            </w:hyperlink>
          </w:p>
          <w:p>
            <w:pPr>
              <w:pStyle w:val="registration-status"/>
              <w:spacing w:before="0" w:after="0"/>
            </w:pPr>
            <w:hyperlink w:history="true" r:id="Re132625eddba450d">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567523294d074818">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f8604627afa74633">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aed071410ae14b39">
              <w:r>
                <w:rPr>
                  <w:rStyle w:val="Hyperlink"/>
                </w:rPr>
                <w:t xml:space="preserve">National Healthcare Agreement: PI 19-Selected potentially avoidable GP-type presentations to emergency departments, 2014</w:t>
              </w:r>
            </w:hyperlink>
          </w:p>
          <w:p>
            <w:pPr>
              <w:pStyle w:val="registration-status"/>
              <w:spacing w:before="0" w:after="0"/>
            </w:pPr>
            <w:hyperlink w:history="true" r:id="Ra41f34bd6f47401a">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36a8233df6dd417f">
              <w:r>
                <w:rPr>
                  <w:rStyle w:val="Hyperlink"/>
                </w:rPr>
                <w:t xml:space="preserve">National Healthcare Agreement: PI 21a-Waiting times for emergency hospital care: Proportion seen on time, 2014</w:t>
              </w:r>
            </w:hyperlink>
          </w:p>
          <w:p>
            <w:pPr>
              <w:pStyle w:val="registration-status"/>
              <w:spacing w:before="0" w:after="0"/>
            </w:pPr>
            <w:hyperlink w:history="true" r:id="R75631927bfa84204">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902191306a064c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d96648021f4b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2191306a064cf2" /><Relationship Type="http://schemas.openxmlformats.org/officeDocument/2006/relationships/header" Target="/word/header1.xml" Id="R1aad9c29c4964ef9" /><Relationship Type="http://schemas.openxmlformats.org/officeDocument/2006/relationships/settings" Target="/word/settings.xml" Id="R64f614f21c304fbc" /><Relationship Type="http://schemas.openxmlformats.org/officeDocument/2006/relationships/styles" Target="/word/styles.xml" Id="R96c22e017e274a8e" /><Relationship Type="http://schemas.openxmlformats.org/officeDocument/2006/relationships/numbering" Target="/word/numbering.xml" Id="R3b7a25f83ed0412c" /><Relationship Type="http://schemas.openxmlformats.org/officeDocument/2006/relationships/hyperlink" Target="https://meteor.aihw.gov.au/RegistrationAuthority/12" TargetMode="External" Id="Ree96bbc469c4449c" /><Relationship Type="http://schemas.openxmlformats.org/officeDocument/2006/relationships/hyperlink" Target="https://meteor.aihw.gov.au/content/472757" TargetMode="External" Id="Reded497ab66a46cc" /><Relationship Type="http://schemas.openxmlformats.org/officeDocument/2006/relationships/hyperlink" Target="https://meteor.aihw.gov.au/content/517609" TargetMode="External" Id="Rffa37e66e4bb4e8c" /><Relationship Type="http://schemas.openxmlformats.org/officeDocument/2006/relationships/hyperlink" Target="https://meteor.aihw.gov.au/RegistrationAuthority/12" TargetMode="External" Id="R4da0bd22f03a4fbd" /><Relationship Type="http://schemas.openxmlformats.org/officeDocument/2006/relationships/hyperlink" Target="https://meteor.aihw.gov.au/content/393487" TargetMode="External" Id="R7450760bff684116" /><Relationship Type="http://schemas.openxmlformats.org/officeDocument/2006/relationships/hyperlink" Target="https://meteor.aihw.gov.au/RegistrationAuthority/12" TargetMode="External" Id="R11c85b16f5cd4962" /><Relationship Type="http://schemas.openxmlformats.org/officeDocument/2006/relationships/hyperlink" Target="https://meteor.aihw.gov.au/RegistrationAuthority/8" TargetMode="External" Id="Re3a1df1db309458a" /><Relationship Type="http://schemas.openxmlformats.org/officeDocument/2006/relationships/hyperlink" Target="https://meteor.aihw.gov.au/content/517731" TargetMode="External" Id="R6597ced7cdcd4754" /><Relationship Type="http://schemas.openxmlformats.org/officeDocument/2006/relationships/hyperlink" Target="https://meteor.aihw.gov.au/RegistrationAuthority/12" TargetMode="External" Id="Rb4a0f6f69e9e4528" /><Relationship Type="http://schemas.openxmlformats.org/officeDocument/2006/relationships/hyperlink" Target="https://meteor.aihw.gov.au/content/474371" TargetMode="External" Id="Rbfaa808ff5ad43f5" /><Relationship Type="http://schemas.openxmlformats.org/officeDocument/2006/relationships/hyperlink" Target="https://meteor.aihw.gov.au/content/471886" TargetMode="External" Id="Rc029026b58164055" /><Relationship Type="http://schemas.openxmlformats.org/officeDocument/2006/relationships/hyperlink" Target="https://meteor.aihw.gov.au/content/489672" TargetMode="External" Id="Rb11c77cd8a9a4761" /><Relationship Type="http://schemas.openxmlformats.org/officeDocument/2006/relationships/hyperlink" Target="https://meteor.aihw.gov.au/content/471889" TargetMode="External" Id="R5115670832e14fb9" /><Relationship Type="http://schemas.openxmlformats.org/officeDocument/2006/relationships/hyperlink" Target="https://meteor.aihw.gov.au/content/489672" TargetMode="External" Id="R9539f78883f14479" /><Relationship Type="http://schemas.openxmlformats.org/officeDocument/2006/relationships/hyperlink" Target="https://meteor.aihw.gov.au/content/474436" TargetMode="External" Id="R7e219fcccac8474e" /><Relationship Type="http://schemas.openxmlformats.org/officeDocument/2006/relationships/hyperlink" Target="https://meteor.aihw.gov.au/content/489672" TargetMode="External" Id="R43193f7def914bf1" /><Relationship Type="http://schemas.openxmlformats.org/officeDocument/2006/relationships/hyperlink" Target="https://meteor.aihw.gov.au/content/474438" TargetMode="External" Id="R0dd9899aae9f4fa4" /><Relationship Type="http://schemas.openxmlformats.org/officeDocument/2006/relationships/hyperlink" Target="https://meteor.aihw.gov.au/content/489672" TargetMode="External" Id="Racbc2abda17b47b6" /><Relationship Type="http://schemas.openxmlformats.org/officeDocument/2006/relationships/hyperlink" Target="https://meteor.aihw.gov.au/content/290046" TargetMode="External" Id="R512de37c7ec247a1" /><Relationship Type="http://schemas.openxmlformats.org/officeDocument/2006/relationships/hyperlink" Target="https://meteor.aihw.gov.au/content/489672" TargetMode="External" Id="R9e87e6005bd04dfd" /><Relationship Type="http://schemas.openxmlformats.org/officeDocument/2006/relationships/hyperlink" Target="https://meteor.aihw.gov.au/content/269973" TargetMode="External" Id="R3fe3500fb4074839" /><Relationship Type="http://schemas.openxmlformats.org/officeDocument/2006/relationships/hyperlink" Target="https://meteor.aihw.gov.au/content/489672" TargetMode="External" Id="R7f235805b6fd49d1" /><Relationship Type="http://schemas.openxmlformats.org/officeDocument/2006/relationships/hyperlink" Target="https://meteor.aihw.gov.au/content/392591" TargetMode="External" Id="Rb1d48efb3a144be7" /><Relationship Type="http://schemas.openxmlformats.org/officeDocument/2006/relationships/hyperlink" Target="https://meteor.aihw.gov.au/content/392587" TargetMode="External" Id="R7b85559622614a3e" /><Relationship Type="http://schemas.openxmlformats.org/officeDocument/2006/relationships/hyperlink" Target="https://meteor.aihw.gov.au/content/489672" TargetMode="External" Id="R8b09698982bc4275" /><Relationship Type="http://schemas.openxmlformats.org/officeDocument/2006/relationships/hyperlink" Target="https://meteor.aihw.gov.au/content/497210" TargetMode="External" Id="Rd5569344f47f4d53" /><Relationship Type="http://schemas.openxmlformats.org/officeDocument/2006/relationships/hyperlink" Target="https://meteor.aihw.gov.au/RegistrationAuthority/12" TargetMode="External" Id="Re132625eddba450d" /><Relationship Type="http://schemas.openxmlformats.org/officeDocument/2006/relationships/hyperlink" Target="https://meteor.aihw.gov.au/content/559024" TargetMode="External" Id="R567523294d074818" /><Relationship Type="http://schemas.openxmlformats.org/officeDocument/2006/relationships/hyperlink" Target="https://meteor.aihw.gov.au/RegistrationAuthority/12" TargetMode="External" Id="Rf8604627afa74633" /><Relationship Type="http://schemas.openxmlformats.org/officeDocument/2006/relationships/hyperlink" Target="https://meteor.aihw.gov.au/content/517646" TargetMode="External" Id="Raed071410ae14b39" /><Relationship Type="http://schemas.openxmlformats.org/officeDocument/2006/relationships/hyperlink" Target="https://meteor.aihw.gov.au/RegistrationAuthority/12" TargetMode="External" Id="Ra41f34bd6f47401a" /><Relationship Type="http://schemas.openxmlformats.org/officeDocument/2006/relationships/hyperlink" Target="https://meteor.aihw.gov.au/content/517640" TargetMode="External" Id="R36a8233df6dd417f" /><Relationship Type="http://schemas.openxmlformats.org/officeDocument/2006/relationships/hyperlink" Target="https://meteor.aihw.gov.au/RegistrationAuthority/12" TargetMode="External" Id="R75631927bfa84204" /></Relationships>
</file>

<file path=word/_rels/header1.xml.rels>&#65279;<?xml version="1.0" encoding="utf-8"?><Relationships xmlns="http://schemas.openxmlformats.org/package/2006/relationships"><Relationship Type="http://schemas.openxmlformats.org/officeDocument/2006/relationships/image" Target="/media/image.png" Id="Rb7d96648021f4bce" /></Relationships>
</file>