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d49d34185d24728"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22-Healthcare associated infections, 2014</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22-Healthcare associated infections,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22-Healthcare-associated infections,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517636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64af06a8253416f">
              <w:r>
                <w:rPr>
                  <w:rStyle w:val="Hyperlink"/>
                  <w:color w:val="244061"/>
                </w:rPr>
                <w:t xml:space="preserve">Health</w:t>
              </w:r>
            </w:hyperlink>
            <w:r>
              <w:rPr>
                <w:rStyle w:val="row-content"/>
                <w:color w:val="244061"/>
              </w:rPr>
              <w:t xml:space="preserve">, Superseded 14/01/2015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i/>
              </w:rPr>
              <w:t xml:space="preserve">Staphylococcus aureus</w:t>
            </w:r>
            <w:r>
              <w:rPr>
                <w:rStyle w:val="row-content-rich-text"/>
              </w:rPr>
              <w:t xml:space="preserve"> bacteraemia (SAB) associated with acute care public hospitals (excluding cases associated with private hospitals and non-hospital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1629893f5d942cd">
              <w:r>
                <w:rPr>
                  <w:rStyle w:val="Hyperlink"/>
                </w:rPr>
                <w:t xml:space="preserve">National Healthcare Agreement (2014)</w:t>
              </w:r>
            </w:hyperlink>
          </w:p>
          <w:p>
            <w:pPr>
              <w:spacing w:before="0" w:after="0"/>
            </w:pPr>
            <w:r>
              <w:rPr>
                <w:rStyle w:val="row-content"/>
                <w:color w:val="244061"/>
              </w:rPr>
              <w:t xml:space="preserve">       </w:t>
            </w:r>
            <w:hyperlink w:history="true" r:id="R5a8757a4b40e4481">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319fbe538484ce6">
              <w:r>
                <w:rPr>
                  <w:rStyle w:val="Hyperlink"/>
                </w:rPr>
                <w:t xml:space="preserve">Hospital and Related Care</w:t>
              </w:r>
            </w:hyperlink>
          </w:p>
          <w:p>
            <w:pPr>
              <w:spacing w:before="0" w:after="0"/>
            </w:pPr>
            <w:r>
              <w:rPr>
                <w:rStyle w:val="row-content"/>
                <w:color w:val="244061"/>
              </w:rPr>
              <w:t xml:space="preserve">       </w:t>
            </w:r>
            <w:hyperlink w:history="true" r:id="Rcb48720ea890444b">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f4a23ba0257a4711">
              <w:r>
                <w:rPr>
                  <w:rStyle w:val="Hyperlink"/>
                  <w:color w:val="244061"/>
                </w:rPr>
                <w:t xml:space="preserve">National Health Performance Authority (retired)</w:t>
              </w:r>
            </w:hyperlink>
            <w:r>
              <w:rPr>
                <w:rStyle w:val="row-content"/>
                <w:color w:val="244061"/>
              </w:rPr>
              <w:t xml:space="preserve">, Retired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4fd4f24e590416c">
              <w:r>
                <w:rPr>
                  <w:rStyle w:val="Hyperlink"/>
                </w:rPr>
                <w:t xml:space="preserve">National Healthcare Agreement: PI 22-Healthcare associated infections, 2014 QS</w:t>
              </w:r>
            </w:hyperlink>
          </w:p>
          <w:p>
            <w:pPr>
              <w:spacing w:before="0" w:after="0"/>
            </w:pPr>
            <w:r>
              <w:rPr>
                <w:rStyle w:val="row-content"/>
                <w:color w:val="244061"/>
              </w:rPr>
              <w:t xml:space="preserve">       </w:t>
            </w:r>
            <w:hyperlink w:history="true" r:id="R71ccb2cad1df4f8d">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(NMDS). All types of public hospitals are included, both those focusing on acute care, and those focusing on non-acute or subacute care, including psychiatric, rehabilitation and palliative care.</w:t>
            </w:r>
          </w:p>
          <w:p>
            <w:hyperlink w:tooltip="Qualification status indicates whether the patient day within a newborn episode of care is either qualified or unqualified." w:history="true" r:id="R51d307ad4c354667">
              <w:r>
                <w:rPr>
                  <w:rStyle w:val="Hyperlink"/>
                  <w:b/>
                </w:rPr>
                <w:t xml:space="preserve">Unqualified newborns</w:t>
              </w:r>
            </w:hyperlink>
            <w:r>
              <w:rPr>
                <w:rStyle w:val="row-content-rich-text"/>
              </w:rPr>
              <w:t xml:space="preserve"> are included in the indicator. </w:t>
            </w:r>
            <w:hyperlink w:tooltip="A person who is receiving food and/or accommodation but for whom the hospital does not accept responsibility for treatment and/or care." w:history="true" r:id="R93bb07ddd1be4e46">
              <w:r>
                <w:rPr>
                  <w:rStyle w:val="Hyperlink"/>
                  <w:b/>
                </w:rPr>
                <w:t xml:space="preserve">Hospital boarders</w:t>
              </w:r>
            </w:hyperlink>
            <w:r>
              <w:rPr>
                <w:rStyle w:val="row-content-rich-text"/>
              </w:rPr>
              <w:t xml:space="preserve"> and posthumous organ procurement are excluded from the indicator.  </w:t>
            </w:r>
          </w:p>
          <w:p>
            <w:pPr>
              <w:spacing w:after="160"/>
            </w:pPr>
            <w:r>
              <w:rPr>
                <w:rStyle w:val="row-content-rich-text"/>
              </w:rPr>
              <w:t xml:space="preserve">A patient-episode of SAB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48 hours or less after admission and one or more of the following key clinical criteria was met for the patient-episode of SAB:</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An invasive instrumentation or incision related to the SAB was performed within 48 hours</w:t>
            </w:r>
          </w:p>
          <w:p>
            <w:pPr>
              <w:pStyle w:val="ListParagraph"/>
              <w:numPr>
                <w:ilvl w:val="0"/>
                <w:numId w:val="2"/>
              </w:numPr>
            </w:pPr>
            <w:r>
              <w:rPr>
                <w:rStyle w:val="row-content-rich-text"/>
              </w:rPr>
              <w:t xml:space="preserve">SAB is associated with neutropenia (less than 1 x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one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on day 5), then this would be considered a second patient-episode of SAB.</w:t>
            </w:r>
          </w:p>
          <w:p>
            <w:pPr>
              <w:spacing w:after="160"/>
            </w:pPr>
            <w:r>
              <w:rPr>
                <w:rStyle w:val="row-content-rich-text"/>
              </w:rPr>
              <w:t xml:space="preserve">Denominator: includes unqualified newborns, excludes posthumous organ procurement and hospital boarders.</w:t>
            </w:r>
          </w:p>
          <w:p>
            <w:pPr>
              <w:spacing w:after="160"/>
            </w:pPr>
            <w:r>
              <w:rPr>
                <w:rStyle w:val="row-content-rich-text"/>
              </w:rPr>
              <w:t xml:space="preserve">See </w:t>
            </w:r>
            <w:hyperlink w:history="true" r:id="R6075a44cc6a14b23">
              <w:r>
                <w:rPr>
                  <w:rStyle w:val="Hyperlink"/>
                </w:rPr>
                <w:t xml:space="preserve">Establishment—number of patient days, total N[N(7)]</w:t>
              </w:r>
            </w:hyperlink>
            <w:r>
              <w:rPr>
                <w:rStyle w:val="row-content-rich-text"/>
              </w:rPr>
              <w:t xml:space="preserve"> for the definition of patient days. Also included in the denominator are patient days for unqualified newborns, which are not covered in the linked definition. Patient days for unqualified newborns must be reported in addition to patient days as defined in the link. </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w:t>
            </w:r>
          </w:p>
          <w:p>
            <w:pPr>
              <w:pStyle w:val="ListParagraph"/>
              <w:numPr>
                <w:ilvl w:val="0"/>
                <w:numId w:val="3"/>
              </w:numPr>
            </w:pPr>
            <w:r>
              <w:rPr>
                <w:rStyle w:val="row-content-rich-text"/>
              </w:rPr>
              <w:t xml:space="preserve">a number, and</w:t>
            </w:r>
          </w:p>
          <w:p>
            <w:pPr>
              <w:pStyle w:val="ListParagraph"/>
              <w:numPr>
                <w:ilvl w:val="0"/>
                <w:numId w:val="3"/>
              </w:numPr>
            </w:pPr>
            <w:r>
              <w:rPr>
                <w:rStyle w:val="row-content-rich-text"/>
              </w:rPr>
              <w:t xml:space="preserve">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w:t>
            </w:r>
          </w:p>
          <w:p>
            <w:pPr/>
            <w:r>
              <w:rPr>
                <w:rStyle w:val="row-content-rich-text"/>
              </w:rPr>
              <w:t xml:space="preserve">10,000 x (Numerator ÷ Denominator).</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SAB patient episodes (as defined above)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care—condition onset flag</w:t>
            </w:r>
          </w:p>
          <w:p>
            <w:r>
              <w:rPr>
                <w:rStyle w:val="row-content"/>
                <w:b/>
              </w:rPr>
              <w:t xml:space="preserve">Data Source</w:t>
            </w:r>
          </w:p>
          <w:p>
            <w:hyperlink w:history="true" r:id="R082d6726f92c4cdd">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care—additional diagnosis</w:t>
            </w:r>
          </w:p>
          <w:p>
            <w:r>
              <w:rPr>
                <w:rStyle w:val="row-content"/>
                <w:b/>
              </w:rPr>
              <w:t xml:space="preserve">Data Source</w:t>
            </w:r>
          </w:p>
          <w:p>
            <w:hyperlink w:history="true" r:id="Rafdea5c219084b15">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d21945b759b9424e">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Hospital service—care type</w:t>
            </w:r>
          </w:p>
          <w:p>
            <w:r>
              <w:rPr>
                <w:rStyle w:val="row-content"/>
                <w:b/>
              </w:rPr>
              <w:t xml:space="preserve">Data Source</w:t>
            </w:r>
          </w:p>
          <w:p>
            <w:hyperlink w:history="true" r:id="Rda2d3e80ac024ed5">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Person—person identifier</w:t>
            </w:r>
          </w:p>
          <w:p>
            <w:r>
              <w:rPr>
                <w:rStyle w:val="row-content"/>
                <w:b/>
              </w:rPr>
              <w:t xml:space="preserve">Data Source</w:t>
            </w:r>
          </w:p>
          <w:p>
            <w:hyperlink w:history="true" r:id="R2a5762a331ee4861">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patient days for public acute care hospitals under surveillance (i.e. only for hospitals included in the surveillance arrangements).</w:t>
            </w:r>
          </w:p>
          <w:p>
            <w:pPr/>
            <w:r>
              <w:rPr>
                <w:rStyle w:val="row-content-rich-text"/>
              </w:rPr>
              <w:t xml:space="preserve">Include unqualified newborns, exclude posthumous organ procurement and hospital boarders.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care—admission date</w:t>
            </w:r>
          </w:p>
          <w:p>
            <w:r>
              <w:rPr>
                <w:rStyle w:val="row-content"/>
                <w:b/>
              </w:rPr>
              <w:t xml:space="preserve">Data Source</w:t>
            </w:r>
          </w:p>
          <w:p>
            <w:hyperlink w:history="true" r:id="R4bb3b09070b04484">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Episode of admitted patient care—separation date</w:t>
            </w:r>
          </w:p>
          <w:p>
            <w:r>
              <w:rPr>
                <w:rStyle w:val="row-content"/>
                <w:b/>
              </w:rPr>
              <w:t xml:space="preserve">Data Source</w:t>
            </w:r>
          </w:p>
          <w:p>
            <w:hyperlink w:history="true" r:id="R418cdabc3d8e4b01">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Establishment—organisation identifier (Australian)</w:t>
            </w:r>
          </w:p>
          <w:p>
            <w:r>
              <w:rPr>
                <w:rStyle w:val="row-content"/>
                <w:b/>
              </w:rPr>
              <w:t xml:space="preserve">Data Source</w:t>
            </w:r>
          </w:p>
          <w:p>
            <w:hyperlink w:history="true" r:id="Rdffe0e2eedfd488a">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2012–13—State and territory, by:</w:t>
            </w:r>
          </w:p>
          <w:p>
            <w:pPr>
              <w:pStyle w:val="ListParagraph"/>
              <w:numPr>
                <w:ilvl w:val="0"/>
                <w:numId w:val="4"/>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 </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Establishment—Australian state/territory identifier</w:t>
            </w:r>
          </w:p>
          <w:p>
            <w:r>
              <w:rPr>
                <w:rStyle w:val="row-content"/>
                <w:b/>
              </w:rPr>
              <w:t xml:space="preserve">Data Source</w:t>
            </w:r>
          </w:p>
          <w:p>
            <w:hyperlink w:history="true" r:id="Rb14d500a910345b2">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p>
            <w:r>
              <w:rPr>
                <w:rStyle w:val="row-content"/>
                <w:b/>
                <w:color w:val="000000"/>
              </w:rPr>
              <w:t xml:space="preserve">Data Element / Data Set</w:t>
            </w:r>
          </w:p>
          <w:p>
            <w:r>
              <w:rPr>
                <w:rStyle w:val="row-content"/>
                <w:b/>
              </w:rPr>
              <w:t xml:space="preserve">Data Element</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b/>
              </w:rPr>
              <w:t xml:space="preserve">Data Source</w:t>
            </w:r>
          </w:p>
          <w:p>
            <w:hyperlink w:history="true" r:id="R637916c8be424759">
              <w:r>
                <w:rPr>
                  <w:rStyle w:val="Hyperlink"/>
                </w:rPr>
                <w:t xml:space="preserve">State/territory infection surveillance data</w:t>
              </w:r>
            </w:hyperlink>
          </w:p>
          <w:p>
            <w:r>
              <w:rPr>
                <w:rStyle w:val="row-content"/>
                <w:b/>
              </w:rPr>
              <w:t xml:space="preserve">Guide for use</w:t>
            </w:r>
          </w:p>
          <w:p>
            <w:r>
              <w:rPr>
                <w:rStyle w:val="row-content"/>
              </w:rPr>
              <w:t xml:space="preserve">Data source type: Administrative by-product data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2014 Council of Australian Governments (COAG) Reform Council (CRC) report: 2012–13.</w:t>
            </w:r>
          </w:p>
          <w:p>
            <w:pPr>
              <w:spacing w:after="160"/>
            </w:pPr>
            <w:r>
              <w:rPr>
                <w:rStyle w:val="row-content-rich-text"/>
              </w:rPr>
              <w:t xml:space="preserve">The number of SAB patient episodes associated with acute public hospitals under surveillance includes SAB patient episodes associated with </w:t>
            </w:r>
            <w:r>
              <w:rPr>
                <w:rStyle w:val="row-content-rich-text"/>
                <w:u w:val="single"/>
              </w:rPr>
              <w:t xml:space="preserve">all</w:t>
            </w:r>
            <w:r>
              <w:rPr>
                <w:rStyle w:val="row-content-rich-text"/>
              </w:rPr>
              <w:t xml:space="preserve"> public hospitals, and the number of patient days for public acute care hospitals under surveillance includes the number of patient days for </w:t>
            </w:r>
            <w:r>
              <w:rPr>
                <w:rStyle w:val="row-content-rich-text"/>
                <w:u w:val="single"/>
              </w:rPr>
              <w:t xml:space="preserve">all</w:t>
            </w:r>
            <w:r>
              <w:rPr>
                <w:rStyle w:val="row-content-rich-text"/>
              </w:rPr>
              <w:t xml:space="preserve"> public hospitals under surveillance.</w:t>
            </w:r>
          </w:p>
          <w:p>
            <w:pPr>
              <w:spacing w:after="160"/>
            </w:pPr>
            <w:r>
              <w:rPr>
                <w:rStyle w:val="row-content-rich-text"/>
              </w:rPr>
              <w:t xml:space="preserve">For some states and territories there is less than 100 per cent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a state or territory.</w:t>
            </w:r>
          </w:p>
          <w:p>
            <w:pPr>
              <w:spacing w:after="160"/>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SAB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are included. Patient days for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cases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comparability of rates.</w:t>
            </w:r>
          </w:p>
          <w:p>
            <w:pPr>
              <w:spacing w:after="160"/>
            </w:pPr>
            <w:r>
              <w:rPr>
                <w:rStyle w:val="row-content-rich-text"/>
              </w:rPr>
              <w:t xml:space="preserve">Jurisdictional manuals should be referred to for full details of definitions used in infection control surveillance.</w:t>
            </w:r>
          </w:p>
          <w:p>
            <w:pPr/>
            <w:r>
              <w:rPr>
                <w:rStyle w:val="row-content-rich-text"/>
              </w:rPr>
              <w:t xml:space="preserve">Note that patient episodes of SAB are just one type of healthcare associated infection. Hence, this performance indicator is not a complete measure of healthcare associated infections for the outcome area of Hospital and Related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7207b31f5d524a2a">
              <w:r>
                <w:rPr>
                  <w:rStyle w:val="Hyperlink"/>
                </w:rPr>
                <w:t xml:space="preserve">Safety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d559b741a3d94855">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f68a62c7a94743c9">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25e95823ce81414a">
              <w:r>
                <w:rPr>
                  <w:rStyle w:val="Hyperlink"/>
                </w:rPr>
                <w:t xml:space="preserve">National Healthcare Agreement: PB g-Better health: the rate of </w:t>
              </w:r>
              <w:r>
                <w:rPr>
                  <w:rStyle w:val="row-content-rich-text"/>
                  <w:i/>
                </w:rPr>
                <w:t xml:space="preserve">Staphylococcus aureus </w:t>
              </w:r>
              <w:r>
                <w:rPr>
                  <w:rStyle w:val="row-content-rich-text"/>
                </w:rPr>
                <w:t xml:space="preserve">(including MRSA) bacteraemia is no more than 2.0 per 10,000 occupied bed days for acute care public hospitals by 2011-12 in each state and territory, 2014</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Substantial work required, the measure requires significant work to be undertaken.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7c0e01cd8ca4971">
              <w:r>
                <w:rPr>
                  <w:rStyle w:val="Hyperlink"/>
                </w:rPr>
                <w:t xml:space="preserve">National Healthcare Agreement: PI 22-Healthcare associated infections, 2013</w:t>
              </w:r>
            </w:hyperlink>
          </w:p>
          <w:p>
            <w:pPr>
              <w:spacing w:before="0" w:after="0"/>
            </w:pPr>
            <w:r>
              <w:rPr>
                <w:rStyle w:val="row-content"/>
                <w:color w:val="244061"/>
              </w:rPr>
              <w:t xml:space="preserve">       </w:t>
            </w:r>
            <w:hyperlink w:history="true" r:id="Rc1e0a54b7944418e">
              <w:r>
                <w:rPr>
                  <w:rStyle w:val="Hyperlink"/>
                  <w:color w:val="244061"/>
                </w:rPr>
                <w:t xml:space="preserve">Health</w:t>
              </w:r>
            </w:hyperlink>
            <w:r>
              <w:rPr>
                <w:rStyle w:val="row-content"/>
                <w:color w:val="244061"/>
              </w:rPr>
              <w:t xml:space="preserve">, Superseded 25/11/2013</w:t>
            </w:r>
          </w:p>
          <w:p>
            <w:r>
              <w:br/>
            </w:r>
            <w:r>
              <w:rPr>
                <w:rStyle w:val="row-content"/>
              </w:rPr>
              <w:t xml:space="preserve">Has been superseded by </w:t>
            </w:r>
            <w:hyperlink w:history="true" r:id="R4a76346fed104945">
              <w:r>
                <w:rPr>
                  <w:rStyle w:val="Hyperlink"/>
                </w:rPr>
                <w:t xml:space="preserve">National Healthcare Agreement: PI 22-Healthcare associated infections, 2015</w:t>
              </w:r>
            </w:hyperlink>
          </w:p>
          <w:p>
            <w:pPr>
              <w:spacing w:before="0" w:after="0"/>
            </w:pPr>
            <w:r>
              <w:rPr>
                <w:rStyle w:val="row-content"/>
                <w:color w:val="244061"/>
              </w:rPr>
              <w:t xml:space="preserve">       </w:t>
            </w:r>
            <w:hyperlink w:history="true" r:id="Rc451b263f92d4640">
              <w:r>
                <w:rPr>
                  <w:rStyle w:val="Hyperlink"/>
                  <w:color w:val="244061"/>
                </w:rPr>
                <w:t xml:space="preserve">Health</w:t>
              </w:r>
            </w:hyperlink>
            <w:r>
              <w:rPr>
                <w:rStyle w:val="row-content"/>
                <w:color w:val="244061"/>
              </w:rPr>
              <w:t xml:space="preserve">, Superseded 08/07/2016</w:t>
            </w:r>
          </w:p>
          <w:p>
            <w:r>
              <w:br/>
            </w:r>
            <w:r>
              <w:rPr>
                <w:rStyle w:val="row-content"/>
              </w:rPr>
              <w:t xml:space="preserve">See also </w:t>
            </w:r>
            <w:hyperlink w:history="true" r:id="Ref3236148dfc4acd">
              <w:r>
                <w:rPr>
                  <w:rStyle w:val="Hyperlink"/>
                </w:rPr>
                <w:t xml:space="preserve">National Healthcare Agreement: PB g-Better health: the rate of Staphylococcus aureus (including MRSA) bacteraemia is no more than 2.0 per 10,000 occupied bed days for acute care public hospitals by 2011–12 in each state and territory, 2014</w:t>
              </w:r>
            </w:hyperlink>
          </w:p>
          <w:p>
            <w:pPr>
              <w:spacing w:before="0" w:after="0"/>
            </w:pPr>
            <w:r>
              <w:rPr>
                <w:rStyle w:val="row-content"/>
                <w:color w:val="244061"/>
              </w:rPr>
              <w:t xml:space="preserve">       </w:t>
            </w:r>
            <w:hyperlink w:history="true" r:id="R49cca682d5d34b8a">
              <w:r>
                <w:rPr>
                  <w:rStyle w:val="Hyperlink"/>
                  <w:color w:val="244061"/>
                </w:rPr>
                <w:t xml:space="preserve">Health</w:t>
              </w:r>
            </w:hyperlink>
            <w:r>
              <w:rPr>
                <w:rStyle w:val="row-content"/>
                <w:color w:val="244061"/>
              </w:rPr>
              <w:t xml:space="preserve">, Superseded 14/01/2015</w:t>
            </w:r>
          </w:p>
          <w:p>
            <w:r>
              <w:br/>
            </w:r>
            <w:r>
              <w:rPr>
                <w:rStyle w:val="row-content"/>
              </w:rPr>
              <w:t xml:space="preserve">See also </w:t>
            </w:r>
            <w:hyperlink w:history="true" r:id="R9921e3630be94a99">
              <w:r>
                <w:rPr>
                  <w:rStyle w:val="Hyperlink"/>
                </w:rPr>
                <w:t xml:space="preserve">National Healthcare Agreement: PI 23-Unplanned hospital readmission rates, 2014</w:t>
              </w:r>
            </w:hyperlink>
          </w:p>
          <w:p>
            <w:pPr>
              <w:spacing w:before="0" w:after="0"/>
            </w:pPr>
            <w:r>
              <w:rPr>
                <w:rStyle w:val="row-content"/>
                <w:color w:val="244061"/>
              </w:rPr>
              <w:t xml:space="preserve">       </w:t>
            </w:r>
            <w:hyperlink w:history="true" r:id="Rfe50bf474cf645aa">
              <w:r>
                <w:rPr>
                  <w:rStyle w:val="Hyperlink"/>
                  <w:color w:val="244061"/>
                </w:rPr>
                <w:t xml:space="preserve">Health</w:t>
              </w:r>
            </w:hyperlink>
            <w:r>
              <w:rPr>
                <w:rStyle w:val="row-content"/>
                <w:color w:val="244061"/>
              </w:rPr>
              <w:t xml:space="preserve">, Superseded 14/01/2015</w:t>
            </w:r>
          </w:p>
          <w:p>
            <w:r>
              <w:br/>
            </w:r>
          </w:p>
        </w:tc>
      </w:tr>
    </w:tbl>
    <w:p>
      <w:r>
        <w:br/>
      </w:r>
    </w:p>
    <w:sectPr>
      <w:footerReference xmlns:r="http://schemas.openxmlformats.org/officeDocument/2006/relationships" w:type="default" r:id="R49a652f6faab42f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517636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73f824622d4b8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a652f6faab42f4" /><Relationship Type="http://schemas.openxmlformats.org/officeDocument/2006/relationships/header" Target="/word/header1.xml" Id="R78a21e0249a04a47" /><Relationship Type="http://schemas.openxmlformats.org/officeDocument/2006/relationships/settings" Target="/word/settings.xml" Id="Rb4cb87d3d8a5422e" /><Relationship Type="http://schemas.openxmlformats.org/officeDocument/2006/relationships/styles" Target="/word/styles.xml" Id="Re4702366fdbb4456" /><Relationship Type="http://schemas.openxmlformats.org/officeDocument/2006/relationships/hyperlink" Target="https://meteor.aihw.gov.au/RegistrationAuthority/12" TargetMode="External" Id="R164af06a8253416f" /><Relationship Type="http://schemas.openxmlformats.org/officeDocument/2006/relationships/hyperlink" Target="https://meteor.aihw.gov.au/content/517609" TargetMode="External" Id="Ra1629893f5d942cd" /><Relationship Type="http://schemas.openxmlformats.org/officeDocument/2006/relationships/hyperlink" Target="https://meteor.aihw.gov.au/RegistrationAuthority/12" TargetMode="External" Id="R5a8757a4b40e4481" /><Relationship Type="http://schemas.openxmlformats.org/officeDocument/2006/relationships/hyperlink" Target="https://meteor.aihw.gov.au/content/393487" TargetMode="External" Id="R3319fbe538484ce6" /><Relationship Type="http://schemas.openxmlformats.org/officeDocument/2006/relationships/hyperlink" Target="https://meteor.aihw.gov.au/RegistrationAuthority/12" TargetMode="External" Id="Rcb48720ea890444b" /><Relationship Type="http://schemas.openxmlformats.org/officeDocument/2006/relationships/hyperlink" Target="https://meteor.aihw.gov.au/RegistrationAuthority/8" TargetMode="External" Id="Rf4a23ba0257a4711" /><Relationship Type="http://schemas.openxmlformats.org/officeDocument/2006/relationships/hyperlink" Target="https://meteor.aihw.gov.au/content/517728" TargetMode="External" Id="R14fd4f24e590416c" /><Relationship Type="http://schemas.openxmlformats.org/officeDocument/2006/relationships/hyperlink" Target="https://meteor.aihw.gov.au/RegistrationAuthority/12" TargetMode="External" Id="R71ccb2cad1df4f8d" /><Relationship Type="http://schemas.openxmlformats.org/officeDocument/2006/relationships/hyperlink" Target="https://meteor.aihw.gov.au/content/327254" TargetMode="External" Id="R51d307ad4c354667" /><Relationship Type="http://schemas.openxmlformats.org/officeDocument/2006/relationships/hyperlink" Target="https://meteor.aihw.gov.au/content/327242" TargetMode="External" Id="R93bb07ddd1be4e46" /><Relationship Type="http://schemas.openxmlformats.org/officeDocument/2006/relationships/numbering" Target="/word/numbering.xml" Id="R907ee9634d624ae8" /><Relationship Type="http://schemas.openxmlformats.org/officeDocument/2006/relationships/hyperlink" Target="https://meteor.aihw.gov.au/content/270045" TargetMode="External" Id="R6075a44cc6a14b23" /><Relationship Type="http://schemas.openxmlformats.org/officeDocument/2006/relationships/hyperlink" Target="https://meteor.aihw.gov.au/content/402699" TargetMode="External" Id="R082d6726f92c4cdd" /><Relationship Type="http://schemas.openxmlformats.org/officeDocument/2006/relationships/hyperlink" Target="https://meteor.aihw.gov.au/content/402699" TargetMode="External" Id="Rafdea5c219084b15" /><Relationship Type="http://schemas.openxmlformats.org/officeDocument/2006/relationships/hyperlink" Target="https://meteor.aihw.gov.au/content/402699" TargetMode="External" Id="Rd21945b759b9424e" /><Relationship Type="http://schemas.openxmlformats.org/officeDocument/2006/relationships/hyperlink" Target="https://meteor.aihw.gov.au/content/402699" TargetMode="External" Id="Rda2d3e80ac024ed5" /><Relationship Type="http://schemas.openxmlformats.org/officeDocument/2006/relationships/hyperlink" Target="https://meteor.aihw.gov.au/content/402699" TargetMode="External" Id="R2a5762a331ee4861" /><Relationship Type="http://schemas.openxmlformats.org/officeDocument/2006/relationships/hyperlink" Target="https://meteor.aihw.gov.au/content/426458" TargetMode="External" Id="R4bb3b09070b04484" /><Relationship Type="http://schemas.openxmlformats.org/officeDocument/2006/relationships/hyperlink" Target="https://meteor.aihw.gov.au/content/426458" TargetMode="External" Id="R418cdabc3d8e4b01" /><Relationship Type="http://schemas.openxmlformats.org/officeDocument/2006/relationships/hyperlink" Target="https://meteor.aihw.gov.au/content/426458" TargetMode="External" Id="Rdffe0e2eedfd488a" /><Relationship Type="http://schemas.openxmlformats.org/officeDocument/2006/relationships/hyperlink" Target="https://meteor.aihw.gov.au/content/402699" TargetMode="External" Id="Rb14d500a910345b2" /><Relationship Type="http://schemas.openxmlformats.org/officeDocument/2006/relationships/hyperlink" Target="https://meteor.aihw.gov.au/content/402699" TargetMode="External" Id="R637916c8be424759" /><Relationship Type="http://schemas.openxmlformats.org/officeDocument/2006/relationships/hyperlink" Target="https://meteor.aihw.gov.au/content/392584" TargetMode="External" Id="R7207b31f5d524a2a" /><Relationship Type="http://schemas.openxmlformats.org/officeDocument/2006/relationships/hyperlink" Target="https://meteor.aihw.gov.au/content/426458" TargetMode="External" Id="Rd559b741a3d94855" /><Relationship Type="http://schemas.openxmlformats.org/officeDocument/2006/relationships/hyperlink" Target="https://meteor.aihw.gov.au/content/402699" TargetMode="External" Id="Rf68a62c7a94743c9" /><Relationship Type="http://schemas.openxmlformats.org/officeDocument/2006/relationships/hyperlink" Target="http://0" TargetMode="External" Id="R25e95823ce81414a" /><Relationship Type="http://schemas.openxmlformats.org/officeDocument/2006/relationships/hyperlink" Target="https://meteor.aihw.gov.au/content/497153" TargetMode="External" Id="R87c0e01cd8ca4971" /><Relationship Type="http://schemas.openxmlformats.org/officeDocument/2006/relationships/hyperlink" Target="https://meteor.aihw.gov.au/RegistrationAuthority/12" TargetMode="External" Id="Rc1e0a54b7944418e" /><Relationship Type="http://schemas.openxmlformats.org/officeDocument/2006/relationships/hyperlink" Target="https://meteor.aihw.gov.au/content/559022" TargetMode="External" Id="R4a76346fed104945" /><Relationship Type="http://schemas.openxmlformats.org/officeDocument/2006/relationships/hyperlink" Target="https://meteor.aihw.gov.au/RegistrationAuthority/12" TargetMode="External" Id="Rc451b263f92d4640" /><Relationship Type="http://schemas.openxmlformats.org/officeDocument/2006/relationships/hyperlink" Target="https://meteor.aihw.gov.au/content/517690" TargetMode="External" Id="Ref3236148dfc4acd" /><Relationship Type="http://schemas.openxmlformats.org/officeDocument/2006/relationships/hyperlink" Target="https://meteor.aihw.gov.au/RegistrationAuthority/12" TargetMode="External" Id="R49cca682d5d34b8a" /><Relationship Type="http://schemas.openxmlformats.org/officeDocument/2006/relationships/hyperlink" Target="https://meteor.aihw.gov.au/content/517634" TargetMode="External" Id="R9921e3630be94a99" /><Relationship Type="http://schemas.openxmlformats.org/officeDocument/2006/relationships/hyperlink" Target="https://meteor.aihw.gov.au/RegistrationAuthority/12" TargetMode="External" Id="Rfe50bf474cf645aa" /></Relationships>
</file>

<file path=word/_rels/header1.xml.rels>&#65279;<?xml version="1.0" encoding="utf-8"?><Relationships xmlns="http://schemas.openxmlformats.org/package/2006/relationships"><Relationship Type="http://schemas.openxmlformats.org/officeDocument/2006/relationships/image" Target="/media/image.png" Id="R0773f824622d4b85" /></Relationships>
</file>