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ada8fff53624ff5" /></Relationships>
</file>

<file path=word/document.xml><?xml version="1.0" encoding="utf-8"?>
<w:document xmlns:r="http://schemas.openxmlformats.org/officeDocument/2006/relationships" xmlns:w="http://schemas.openxmlformats.org/wordprocessingml/2006/main">
  <w:body>
    <w:p>
      <w:pPr>
        <w:pStyle w:val="Title"/>
      </w:pPr>
      <w:r>
        <w:t>Administrative health region—Medicare Local identifier, code AANNN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Administrative health region—Medicare Local identifier, code AANNN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Medicare Local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513288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0b38ab7c8504b1f">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unique identifier for a </w:t>
            </w:r>
          </w:p>
          <w:p>
            <w:hyperlink w:tooltip="An administrative health region established under the National Health Reform Agreement 2012, responsible for assessing the health needs of the population in a specific region, for identifying gaps in general practitioner (GP) and primary health care se..." w:history="true" r:id="R07068ed409c34caf">
              <w:r>
                <w:rPr>
                  <w:rStyle w:val="Hyperlink"/>
                  <w:b/>
                </w:rPr>
                <w:t xml:space="preserve">Medicare Local</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7a8ea2455e745b6">
              <w:r>
                <w:rPr>
                  <w:rStyle w:val="Hyperlink"/>
                </w:rPr>
                <w:t xml:space="preserve">Administrative health region—Medicare Local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55c713167c443a4">
              <w:r>
                <w:rPr>
                  <w:rStyle w:val="Hyperlink"/>
                </w:rPr>
                <w:t xml:space="preserve">Medicare Local code AANNN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ML101</w:t>
            </w:r>
          </w:p>
        </w:tc>
        <w:tc>
          <w:tcPr>
            <w:tcBorders>
              <w:top w:val="none" w:color="000000" w:sz="0"/>
              <w:left w:val="none" w:color="000000" w:sz="0"/>
              <w:bottom w:val="none" w:color="000000" w:sz="0"/>
              <w:right w:val="none" w:color="000000" w:sz="0"/>
            </w:tcBorders>
            <w:vAlign w:val="top"/>
          </w:tcPr>
          <w:p>
            <w:r>
              <w:t xml:space="preserve">Eastern Sydney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ML102</w:t>
            </w:r>
          </w:p>
        </w:tc>
        <w:tc>
          <w:tcPr>
            <w:tcBorders>
              <w:top w:val="none" w:color="000000" w:sz="0"/>
              <w:left w:val="none" w:color="000000" w:sz="0"/>
              <w:bottom w:val="none" w:color="000000" w:sz="0"/>
              <w:right w:val="none" w:color="000000" w:sz="0"/>
            </w:tcBorders>
            <w:vAlign w:val="top"/>
          </w:tcPr>
          <w:p>
            <w:r>
              <w:t xml:space="preserve">Inner West Sydney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ML103</w:t>
            </w:r>
          </w:p>
        </w:tc>
        <w:tc>
          <w:tcPr>
            <w:tcBorders>
              <w:top w:val="none" w:color="000000" w:sz="0"/>
              <w:left w:val="none" w:color="000000" w:sz="0"/>
              <w:bottom w:val="none" w:color="000000" w:sz="0"/>
              <w:right w:val="none" w:color="000000" w:sz="0"/>
            </w:tcBorders>
            <w:vAlign w:val="top"/>
          </w:tcPr>
          <w:p>
            <w:r>
              <w:t xml:space="preserve">South Eastern Sydney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ML104</w:t>
            </w:r>
          </w:p>
        </w:tc>
        <w:tc>
          <w:tcPr>
            <w:tcBorders>
              <w:top w:val="none" w:color="000000" w:sz="0"/>
              <w:left w:val="none" w:color="000000" w:sz="0"/>
              <w:bottom w:val="none" w:color="000000" w:sz="0"/>
              <w:right w:val="none" w:color="000000" w:sz="0"/>
            </w:tcBorders>
            <w:vAlign w:val="top"/>
          </w:tcPr>
          <w:p>
            <w:r>
              <w:t xml:space="preserve">South Western Sydney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ML105</w:t>
            </w:r>
          </w:p>
        </w:tc>
        <w:tc>
          <w:tcPr>
            <w:tcBorders>
              <w:top w:val="none" w:color="000000" w:sz="0"/>
              <w:left w:val="none" w:color="000000" w:sz="0"/>
              <w:bottom w:val="none" w:color="000000" w:sz="0"/>
              <w:right w:val="none" w:color="000000" w:sz="0"/>
            </w:tcBorders>
            <w:vAlign w:val="top"/>
          </w:tcPr>
          <w:p>
            <w:r>
              <w:t xml:space="preserve">Western Sydney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ML106</w:t>
            </w:r>
          </w:p>
        </w:tc>
        <w:tc>
          <w:tcPr>
            <w:tcBorders>
              <w:top w:val="none" w:color="000000" w:sz="0"/>
              <w:left w:val="none" w:color="000000" w:sz="0"/>
              <w:bottom w:val="none" w:color="000000" w:sz="0"/>
              <w:right w:val="none" w:color="000000" w:sz="0"/>
            </w:tcBorders>
            <w:vAlign w:val="top"/>
          </w:tcPr>
          <w:p>
            <w:r>
              <w:t xml:space="preserve">Nepean - Blue Mountains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ML107</w:t>
            </w:r>
          </w:p>
        </w:tc>
        <w:tc>
          <w:tcPr>
            <w:tcBorders>
              <w:top w:val="none" w:color="000000" w:sz="0"/>
              <w:left w:val="none" w:color="000000" w:sz="0"/>
              <w:bottom w:val="none" w:color="000000" w:sz="0"/>
              <w:right w:val="none" w:color="000000" w:sz="0"/>
            </w:tcBorders>
            <w:vAlign w:val="top"/>
          </w:tcPr>
          <w:p>
            <w:r>
              <w:t xml:space="preserve">Northern Sydney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ML108</w:t>
            </w:r>
          </w:p>
        </w:tc>
        <w:tc>
          <w:tcPr>
            <w:tcBorders>
              <w:top w:val="none" w:color="000000" w:sz="0"/>
              <w:left w:val="none" w:color="000000" w:sz="0"/>
              <w:bottom w:val="none" w:color="000000" w:sz="0"/>
              <w:right w:val="none" w:color="000000" w:sz="0"/>
            </w:tcBorders>
            <w:vAlign w:val="top"/>
          </w:tcPr>
          <w:p>
            <w:r>
              <w:t xml:space="preserve">Sydney North Shore and Beaches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ML109</w:t>
            </w:r>
          </w:p>
        </w:tc>
        <w:tc>
          <w:tcPr>
            <w:tcBorders>
              <w:top w:val="none" w:color="000000" w:sz="0"/>
              <w:left w:val="none" w:color="000000" w:sz="0"/>
              <w:bottom w:val="none" w:color="000000" w:sz="0"/>
              <w:right w:val="none" w:color="000000" w:sz="0"/>
            </w:tcBorders>
            <w:vAlign w:val="top"/>
          </w:tcPr>
          <w:p>
            <w:r>
              <w:t xml:space="preserve">Central Coast NSW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ML110</w:t>
            </w:r>
          </w:p>
        </w:tc>
        <w:tc>
          <w:tcPr>
            <w:tcBorders>
              <w:top w:val="none" w:color="000000" w:sz="0"/>
              <w:left w:val="none" w:color="000000" w:sz="0"/>
              <w:bottom w:val="none" w:color="000000" w:sz="0"/>
              <w:right w:val="none" w:color="000000" w:sz="0"/>
            </w:tcBorders>
            <w:vAlign w:val="top"/>
          </w:tcPr>
          <w:p>
            <w:r>
              <w:t xml:space="preserve">Illawarra - Shoalhaven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ML111</w:t>
            </w:r>
          </w:p>
        </w:tc>
        <w:tc>
          <w:tcPr>
            <w:tcBorders>
              <w:top w:val="none" w:color="000000" w:sz="0"/>
              <w:left w:val="none" w:color="000000" w:sz="0"/>
              <w:bottom w:val="none" w:color="000000" w:sz="0"/>
              <w:right w:val="none" w:color="000000" w:sz="0"/>
            </w:tcBorders>
            <w:vAlign w:val="top"/>
          </w:tcPr>
          <w:p>
            <w:r>
              <w:t xml:space="preserve">Hunter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ML113</w:t>
            </w:r>
          </w:p>
        </w:tc>
        <w:tc>
          <w:tcPr>
            <w:tcBorders>
              <w:top w:val="none" w:color="000000" w:sz="0"/>
              <w:left w:val="none" w:color="000000" w:sz="0"/>
              <w:bottom w:val="none" w:color="000000" w:sz="0"/>
              <w:right w:val="none" w:color="000000" w:sz="0"/>
            </w:tcBorders>
            <w:vAlign w:val="top"/>
          </w:tcPr>
          <w:p>
            <w:r>
              <w:t xml:space="preserve">North Coast NSW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ML114</w:t>
            </w:r>
          </w:p>
        </w:tc>
        <w:tc>
          <w:tcPr>
            <w:tcBorders>
              <w:top w:val="none" w:color="000000" w:sz="0"/>
              <w:left w:val="none" w:color="000000" w:sz="0"/>
              <w:bottom w:val="none" w:color="000000" w:sz="0"/>
              <w:right w:val="none" w:color="000000" w:sz="0"/>
            </w:tcBorders>
            <w:vAlign w:val="top"/>
          </w:tcPr>
          <w:p>
            <w:r>
              <w:t xml:space="preserve">New England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ML115</w:t>
            </w:r>
          </w:p>
        </w:tc>
        <w:tc>
          <w:tcPr>
            <w:tcBorders>
              <w:top w:val="none" w:color="000000" w:sz="0"/>
              <w:left w:val="none" w:color="000000" w:sz="0"/>
              <w:bottom w:val="none" w:color="000000" w:sz="0"/>
              <w:right w:val="none" w:color="000000" w:sz="0"/>
            </w:tcBorders>
            <w:vAlign w:val="top"/>
          </w:tcPr>
          <w:p>
            <w:r>
              <w:t xml:space="preserve">Western NSW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ML116</w:t>
            </w:r>
          </w:p>
        </w:tc>
        <w:tc>
          <w:tcPr>
            <w:tcBorders>
              <w:top w:val="none" w:color="000000" w:sz="0"/>
              <w:left w:val="none" w:color="000000" w:sz="0"/>
              <w:bottom w:val="none" w:color="000000" w:sz="0"/>
              <w:right w:val="none" w:color="000000" w:sz="0"/>
            </w:tcBorders>
            <w:vAlign w:val="top"/>
          </w:tcPr>
          <w:p>
            <w:r>
              <w:t xml:space="preserve">Murrumbidgee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ML117</w:t>
            </w:r>
          </w:p>
        </w:tc>
        <w:tc>
          <w:tcPr>
            <w:tcBorders>
              <w:top w:val="none" w:color="000000" w:sz="0"/>
              <w:left w:val="none" w:color="000000" w:sz="0"/>
              <w:bottom w:val="none" w:color="000000" w:sz="0"/>
              <w:right w:val="none" w:color="000000" w:sz="0"/>
            </w:tcBorders>
            <w:vAlign w:val="top"/>
          </w:tcPr>
          <w:p>
            <w:r>
              <w:t xml:space="preserve">Southern NSW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ML118</w:t>
            </w:r>
          </w:p>
        </w:tc>
        <w:tc>
          <w:tcPr>
            <w:tcBorders>
              <w:top w:val="none" w:color="000000" w:sz="0"/>
              <w:left w:val="none" w:color="000000" w:sz="0"/>
              <w:bottom w:val="none" w:color="000000" w:sz="0"/>
              <w:right w:val="none" w:color="000000" w:sz="0"/>
            </w:tcBorders>
            <w:vAlign w:val="top"/>
          </w:tcPr>
          <w:p>
            <w:r>
              <w:t xml:space="preserve">Far West NSW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ML201</w:t>
            </w:r>
          </w:p>
        </w:tc>
        <w:tc>
          <w:tcPr>
            <w:tcBorders>
              <w:top w:val="none" w:color="000000" w:sz="0"/>
              <w:left w:val="none" w:color="000000" w:sz="0"/>
              <w:bottom w:val="none" w:color="000000" w:sz="0"/>
              <w:right w:val="none" w:color="000000" w:sz="0"/>
            </w:tcBorders>
            <w:vAlign w:val="top"/>
          </w:tcPr>
          <w:p>
            <w:r>
              <w:t xml:space="preserve">Inner North West Melbourne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ML202</w:t>
            </w:r>
          </w:p>
        </w:tc>
        <w:tc>
          <w:tcPr>
            <w:tcBorders>
              <w:top w:val="none" w:color="000000" w:sz="0"/>
              <w:left w:val="none" w:color="000000" w:sz="0"/>
              <w:bottom w:val="none" w:color="000000" w:sz="0"/>
              <w:right w:val="none" w:color="000000" w:sz="0"/>
            </w:tcBorders>
            <w:vAlign w:val="top"/>
          </w:tcPr>
          <w:p>
            <w:r>
              <w:t xml:space="preserve">Bayside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ML203</w:t>
            </w:r>
          </w:p>
        </w:tc>
        <w:tc>
          <w:tcPr>
            <w:tcBorders>
              <w:top w:val="none" w:color="000000" w:sz="0"/>
              <w:left w:val="none" w:color="000000" w:sz="0"/>
              <w:bottom w:val="none" w:color="000000" w:sz="0"/>
              <w:right w:val="none" w:color="000000" w:sz="0"/>
            </w:tcBorders>
            <w:vAlign w:val="top"/>
          </w:tcPr>
          <w:p>
            <w:r>
              <w:t xml:space="preserve">South Western Melbourne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ML204</w:t>
            </w:r>
          </w:p>
        </w:tc>
        <w:tc>
          <w:tcPr>
            <w:tcBorders>
              <w:top w:val="none" w:color="000000" w:sz="0"/>
              <w:left w:val="none" w:color="000000" w:sz="0"/>
              <w:bottom w:val="none" w:color="000000" w:sz="0"/>
              <w:right w:val="none" w:color="000000" w:sz="0"/>
            </w:tcBorders>
            <w:vAlign w:val="top"/>
          </w:tcPr>
          <w:p>
            <w:r>
              <w:t xml:space="preserve">Macedon Ranges and North Western Melbourne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ML205</w:t>
            </w:r>
          </w:p>
        </w:tc>
        <w:tc>
          <w:tcPr>
            <w:tcBorders>
              <w:top w:val="none" w:color="000000" w:sz="0"/>
              <w:left w:val="none" w:color="000000" w:sz="0"/>
              <w:bottom w:val="none" w:color="000000" w:sz="0"/>
              <w:right w:val="none" w:color="000000" w:sz="0"/>
            </w:tcBorders>
            <w:vAlign w:val="top"/>
          </w:tcPr>
          <w:p>
            <w:r>
              <w:t xml:space="preserve">Northern Melbourne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ML206</w:t>
            </w:r>
          </w:p>
        </w:tc>
        <w:tc>
          <w:tcPr>
            <w:tcBorders>
              <w:top w:val="none" w:color="000000" w:sz="0"/>
              <w:left w:val="none" w:color="000000" w:sz="0"/>
              <w:bottom w:val="none" w:color="000000" w:sz="0"/>
              <w:right w:val="none" w:color="000000" w:sz="0"/>
            </w:tcBorders>
            <w:vAlign w:val="top"/>
          </w:tcPr>
          <w:p>
            <w:r>
              <w:t xml:space="preserve">Inner East Melbourne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ML207</w:t>
            </w:r>
          </w:p>
        </w:tc>
        <w:tc>
          <w:tcPr>
            <w:tcBorders>
              <w:top w:val="none" w:color="000000" w:sz="0"/>
              <w:left w:val="none" w:color="000000" w:sz="0"/>
              <w:bottom w:val="none" w:color="000000" w:sz="0"/>
              <w:right w:val="none" w:color="000000" w:sz="0"/>
            </w:tcBorders>
            <w:vAlign w:val="top"/>
          </w:tcPr>
          <w:p>
            <w:r>
              <w:t xml:space="preserve">Eastern Melbourne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ML208</w:t>
            </w:r>
          </w:p>
        </w:tc>
        <w:tc>
          <w:tcPr>
            <w:tcBorders>
              <w:top w:val="none" w:color="000000" w:sz="0"/>
              <w:left w:val="none" w:color="000000" w:sz="0"/>
              <w:bottom w:val="none" w:color="000000" w:sz="0"/>
              <w:right w:val="none" w:color="000000" w:sz="0"/>
            </w:tcBorders>
            <w:vAlign w:val="top"/>
          </w:tcPr>
          <w:p>
            <w:r>
              <w:t xml:space="preserve">South Eastern Melbourne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ML209</w:t>
            </w:r>
          </w:p>
        </w:tc>
        <w:tc>
          <w:tcPr>
            <w:tcBorders>
              <w:top w:val="none" w:color="000000" w:sz="0"/>
              <w:left w:val="none" w:color="000000" w:sz="0"/>
              <w:bottom w:val="none" w:color="000000" w:sz="0"/>
              <w:right w:val="none" w:color="000000" w:sz="0"/>
            </w:tcBorders>
            <w:vAlign w:val="top"/>
          </w:tcPr>
          <w:p>
            <w:r>
              <w:t xml:space="preserve">Frankston - Mornington Peninsula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ML210</w:t>
            </w:r>
          </w:p>
        </w:tc>
        <w:tc>
          <w:tcPr>
            <w:tcBorders>
              <w:top w:val="none" w:color="000000" w:sz="0"/>
              <w:left w:val="none" w:color="000000" w:sz="0"/>
              <w:bottom w:val="none" w:color="000000" w:sz="0"/>
              <w:right w:val="none" w:color="000000" w:sz="0"/>
            </w:tcBorders>
            <w:vAlign w:val="top"/>
          </w:tcPr>
          <w:p>
            <w:r>
              <w:t xml:space="preserve">Barwon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ML211</w:t>
            </w:r>
          </w:p>
        </w:tc>
        <w:tc>
          <w:tcPr>
            <w:tcBorders>
              <w:top w:val="none" w:color="000000" w:sz="0"/>
              <w:left w:val="none" w:color="000000" w:sz="0"/>
              <w:bottom w:val="none" w:color="000000" w:sz="0"/>
              <w:right w:val="none" w:color="000000" w:sz="0"/>
            </w:tcBorders>
            <w:vAlign w:val="top"/>
          </w:tcPr>
          <w:p>
            <w:r>
              <w:t xml:space="preserve">Grampians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ML212</w:t>
            </w:r>
          </w:p>
        </w:tc>
        <w:tc>
          <w:tcPr>
            <w:tcBorders>
              <w:top w:val="none" w:color="000000" w:sz="0"/>
              <w:left w:val="none" w:color="000000" w:sz="0"/>
              <w:bottom w:val="none" w:color="000000" w:sz="0"/>
              <w:right w:val="none" w:color="000000" w:sz="0"/>
            </w:tcBorders>
            <w:vAlign w:val="top"/>
          </w:tcPr>
          <w:p>
            <w:r>
              <w:t xml:space="preserve">Great South Coast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ML213</w:t>
            </w:r>
          </w:p>
        </w:tc>
        <w:tc>
          <w:tcPr>
            <w:tcBorders>
              <w:top w:val="none" w:color="000000" w:sz="0"/>
              <w:left w:val="none" w:color="000000" w:sz="0"/>
              <w:bottom w:val="none" w:color="000000" w:sz="0"/>
              <w:right w:val="none" w:color="000000" w:sz="0"/>
            </w:tcBorders>
            <w:vAlign w:val="top"/>
          </w:tcPr>
          <w:p>
            <w:r>
              <w:t xml:space="preserve">Lower Murray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ML214</w:t>
            </w:r>
          </w:p>
        </w:tc>
        <w:tc>
          <w:tcPr>
            <w:tcBorders>
              <w:top w:val="none" w:color="000000" w:sz="0"/>
              <w:left w:val="none" w:color="000000" w:sz="0"/>
              <w:bottom w:val="none" w:color="000000" w:sz="0"/>
              <w:right w:val="none" w:color="000000" w:sz="0"/>
            </w:tcBorders>
            <w:vAlign w:val="top"/>
          </w:tcPr>
          <w:p>
            <w:r>
              <w:t xml:space="preserve">Loddon - Mallee - Murray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ML215</w:t>
            </w:r>
          </w:p>
        </w:tc>
        <w:tc>
          <w:tcPr>
            <w:tcBorders>
              <w:top w:val="none" w:color="000000" w:sz="0"/>
              <w:left w:val="none" w:color="000000" w:sz="0"/>
              <w:bottom w:val="none" w:color="000000" w:sz="0"/>
              <w:right w:val="none" w:color="000000" w:sz="0"/>
            </w:tcBorders>
            <w:vAlign w:val="top"/>
          </w:tcPr>
          <w:p>
            <w:r>
              <w:t xml:space="preserve">Goulburn Valley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ML216</w:t>
            </w:r>
          </w:p>
        </w:tc>
        <w:tc>
          <w:tcPr>
            <w:tcBorders>
              <w:top w:val="none" w:color="000000" w:sz="0"/>
              <w:left w:val="none" w:color="000000" w:sz="0"/>
              <w:bottom w:val="none" w:color="000000" w:sz="0"/>
              <w:right w:val="none" w:color="000000" w:sz="0"/>
            </w:tcBorders>
            <w:vAlign w:val="top"/>
          </w:tcPr>
          <w:p>
            <w:r>
              <w:t xml:space="preserve">Hume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ML217</w:t>
            </w:r>
          </w:p>
        </w:tc>
        <w:tc>
          <w:tcPr>
            <w:tcBorders>
              <w:top w:val="none" w:color="000000" w:sz="0"/>
              <w:left w:val="none" w:color="000000" w:sz="0"/>
              <w:bottom w:val="none" w:color="000000" w:sz="0"/>
              <w:right w:val="none" w:color="000000" w:sz="0"/>
            </w:tcBorders>
            <w:vAlign w:val="top"/>
          </w:tcPr>
          <w:p>
            <w:r>
              <w:t xml:space="preserve">Gippsland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ML301</w:t>
            </w:r>
          </w:p>
        </w:tc>
        <w:tc>
          <w:tcPr>
            <w:tcBorders>
              <w:top w:val="none" w:color="000000" w:sz="0"/>
              <w:left w:val="none" w:color="000000" w:sz="0"/>
              <w:bottom w:val="none" w:color="000000" w:sz="0"/>
              <w:right w:val="none" w:color="000000" w:sz="0"/>
            </w:tcBorders>
            <w:vAlign w:val="top"/>
          </w:tcPr>
          <w:p>
            <w:r>
              <w:t xml:space="preserve">Metro North Brisbane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ML302</w:t>
            </w:r>
          </w:p>
        </w:tc>
        <w:tc>
          <w:tcPr>
            <w:tcBorders>
              <w:top w:val="none" w:color="000000" w:sz="0"/>
              <w:left w:val="none" w:color="000000" w:sz="0"/>
              <w:bottom w:val="none" w:color="000000" w:sz="0"/>
              <w:right w:val="none" w:color="000000" w:sz="0"/>
            </w:tcBorders>
            <w:vAlign w:val="top"/>
          </w:tcPr>
          <w:p>
            <w:r>
              <w:t xml:space="preserve">Greater Metro South Brisbane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ML303</w:t>
            </w:r>
          </w:p>
        </w:tc>
        <w:tc>
          <w:tcPr>
            <w:tcBorders>
              <w:top w:val="none" w:color="000000" w:sz="0"/>
              <w:left w:val="none" w:color="000000" w:sz="0"/>
              <w:bottom w:val="none" w:color="000000" w:sz="0"/>
              <w:right w:val="none" w:color="000000" w:sz="0"/>
            </w:tcBorders>
            <w:vAlign w:val="top"/>
          </w:tcPr>
          <w:p>
            <w:r>
              <w:t xml:space="preserve">Gold Coast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ML304</w:t>
            </w:r>
          </w:p>
        </w:tc>
        <w:tc>
          <w:tcPr>
            <w:tcBorders>
              <w:top w:val="none" w:color="000000" w:sz="0"/>
              <w:left w:val="none" w:color="000000" w:sz="0"/>
              <w:bottom w:val="none" w:color="000000" w:sz="0"/>
              <w:right w:val="none" w:color="000000" w:sz="0"/>
            </w:tcBorders>
            <w:vAlign w:val="top"/>
          </w:tcPr>
          <w:p>
            <w:r>
              <w:t xml:space="preserve">Sunshine Coast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ML305</w:t>
            </w:r>
          </w:p>
        </w:tc>
        <w:tc>
          <w:tcPr>
            <w:tcBorders>
              <w:top w:val="none" w:color="000000" w:sz="0"/>
              <w:left w:val="none" w:color="000000" w:sz="0"/>
              <w:bottom w:val="none" w:color="000000" w:sz="0"/>
              <w:right w:val="none" w:color="000000" w:sz="0"/>
            </w:tcBorders>
            <w:vAlign w:val="top"/>
          </w:tcPr>
          <w:p>
            <w:r>
              <w:t xml:space="preserve">West Moreton - Oxley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ML306</w:t>
            </w:r>
          </w:p>
        </w:tc>
        <w:tc>
          <w:tcPr>
            <w:tcBorders>
              <w:top w:val="none" w:color="000000" w:sz="0"/>
              <w:left w:val="none" w:color="000000" w:sz="0"/>
              <w:bottom w:val="none" w:color="000000" w:sz="0"/>
              <w:right w:val="none" w:color="000000" w:sz="0"/>
            </w:tcBorders>
            <w:vAlign w:val="top"/>
          </w:tcPr>
          <w:p>
            <w:r>
              <w:t xml:space="preserve">Darling Downs - South West Queensland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ML307</w:t>
            </w:r>
          </w:p>
        </w:tc>
        <w:tc>
          <w:tcPr>
            <w:tcBorders>
              <w:top w:val="none" w:color="000000" w:sz="0"/>
              <w:left w:val="none" w:color="000000" w:sz="0"/>
              <w:bottom w:val="none" w:color="000000" w:sz="0"/>
              <w:right w:val="none" w:color="000000" w:sz="0"/>
            </w:tcBorders>
            <w:vAlign w:val="top"/>
          </w:tcPr>
          <w:p>
            <w:r>
              <w:t xml:space="preserve">Wide Bay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ML308</w:t>
            </w:r>
          </w:p>
        </w:tc>
        <w:tc>
          <w:tcPr>
            <w:tcBorders>
              <w:top w:val="none" w:color="000000" w:sz="0"/>
              <w:left w:val="none" w:color="000000" w:sz="0"/>
              <w:bottom w:val="none" w:color="000000" w:sz="0"/>
              <w:right w:val="none" w:color="000000" w:sz="0"/>
            </w:tcBorders>
            <w:vAlign w:val="top"/>
          </w:tcPr>
          <w:p>
            <w:r>
              <w:t xml:space="preserve">Central Queensland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ML309</w:t>
            </w:r>
          </w:p>
        </w:tc>
        <w:tc>
          <w:tcPr>
            <w:tcBorders>
              <w:top w:val="none" w:color="000000" w:sz="0"/>
              <w:left w:val="none" w:color="000000" w:sz="0"/>
              <w:bottom w:val="none" w:color="000000" w:sz="0"/>
              <w:right w:val="none" w:color="000000" w:sz="0"/>
            </w:tcBorders>
            <w:vAlign w:val="top"/>
          </w:tcPr>
          <w:p>
            <w:r>
              <w:t xml:space="preserve">Central and North West Queensland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ML310</w:t>
            </w:r>
          </w:p>
        </w:tc>
        <w:tc>
          <w:tcPr>
            <w:tcBorders>
              <w:top w:val="none" w:color="000000" w:sz="0"/>
              <w:left w:val="none" w:color="000000" w:sz="0"/>
              <w:bottom w:val="none" w:color="000000" w:sz="0"/>
              <w:right w:val="none" w:color="000000" w:sz="0"/>
            </w:tcBorders>
            <w:vAlign w:val="top"/>
          </w:tcPr>
          <w:p>
            <w:r>
              <w:t xml:space="preserve">Townsville - Mackay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ML311</w:t>
            </w:r>
          </w:p>
        </w:tc>
        <w:tc>
          <w:tcPr>
            <w:tcBorders>
              <w:top w:val="none" w:color="000000" w:sz="0"/>
              <w:left w:val="none" w:color="000000" w:sz="0"/>
              <w:bottom w:val="none" w:color="000000" w:sz="0"/>
              <w:right w:val="none" w:color="000000" w:sz="0"/>
            </w:tcBorders>
            <w:vAlign w:val="top"/>
          </w:tcPr>
          <w:p>
            <w:r>
              <w:t xml:space="preserve">Far North Queensland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ML401</w:t>
            </w:r>
          </w:p>
        </w:tc>
        <w:tc>
          <w:tcPr>
            <w:tcBorders>
              <w:top w:val="none" w:color="000000" w:sz="0"/>
              <w:left w:val="none" w:color="000000" w:sz="0"/>
              <w:bottom w:val="none" w:color="000000" w:sz="0"/>
              <w:right w:val="none" w:color="000000" w:sz="0"/>
            </w:tcBorders>
            <w:vAlign w:val="top"/>
          </w:tcPr>
          <w:p>
            <w:r>
              <w:t xml:space="preserve">Northern Adelaide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ML402</w:t>
            </w:r>
          </w:p>
        </w:tc>
        <w:tc>
          <w:tcPr>
            <w:tcBorders>
              <w:top w:val="none" w:color="000000" w:sz="0"/>
              <w:left w:val="none" w:color="000000" w:sz="0"/>
              <w:bottom w:val="none" w:color="000000" w:sz="0"/>
              <w:right w:val="none" w:color="000000" w:sz="0"/>
            </w:tcBorders>
            <w:vAlign w:val="top"/>
          </w:tcPr>
          <w:p>
            <w:r>
              <w:t xml:space="preserve">Central Adelaide and Hills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ML403</w:t>
            </w:r>
          </w:p>
        </w:tc>
        <w:tc>
          <w:tcPr>
            <w:tcBorders>
              <w:top w:val="none" w:color="000000" w:sz="0"/>
              <w:left w:val="none" w:color="000000" w:sz="0"/>
              <w:bottom w:val="none" w:color="000000" w:sz="0"/>
              <w:right w:val="none" w:color="000000" w:sz="0"/>
            </w:tcBorders>
            <w:vAlign w:val="top"/>
          </w:tcPr>
          <w:p>
            <w:r>
              <w:t xml:space="preserve">Southern Adelaide - Fleurieu - Kangaroo Island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ML404</w:t>
            </w:r>
          </w:p>
        </w:tc>
        <w:tc>
          <w:tcPr>
            <w:tcBorders>
              <w:top w:val="none" w:color="000000" w:sz="0"/>
              <w:left w:val="none" w:color="000000" w:sz="0"/>
              <w:bottom w:val="none" w:color="000000" w:sz="0"/>
              <w:right w:val="none" w:color="000000" w:sz="0"/>
            </w:tcBorders>
            <w:vAlign w:val="top"/>
          </w:tcPr>
          <w:p>
            <w:r>
              <w:t xml:space="preserve">Country South SA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ML405</w:t>
            </w:r>
          </w:p>
        </w:tc>
        <w:tc>
          <w:tcPr>
            <w:tcBorders>
              <w:top w:val="none" w:color="000000" w:sz="0"/>
              <w:left w:val="none" w:color="000000" w:sz="0"/>
              <w:bottom w:val="none" w:color="000000" w:sz="0"/>
              <w:right w:val="none" w:color="000000" w:sz="0"/>
            </w:tcBorders>
            <w:vAlign w:val="top"/>
          </w:tcPr>
          <w:p>
            <w:r>
              <w:t xml:space="preserve">Country North SA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ML501</w:t>
            </w:r>
          </w:p>
        </w:tc>
        <w:tc>
          <w:tcPr>
            <w:tcBorders>
              <w:top w:val="none" w:color="000000" w:sz="0"/>
              <w:left w:val="none" w:color="000000" w:sz="0"/>
              <w:bottom w:val="none" w:color="000000" w:sz="0"/>
              <w:right w:val="none" w:color="000000" w:sz="0"/>
            </w:tcBorders>
            <w:vAlign w:val="top"/>
          </w:tcPr>
          <w:p>
            <w:r>
              <w:t xml:space="preserve">Perth Central and East Metro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ML502</w:t>
            </w:r>
          </w:p>
        </w:tc>
        <w:tc>
          <w:tcPr>
            <w:tcBorders>
              <w:top w:val="none" w:color="000000" w:sz="0"/>
              <w:left w:val="none" w:color="000000" w:sz="0"/>
              <w:bottom w:val="none" w:color="000000" w:sz="0"/>
              <w:right w:val="none" w:color="000000" w:sz="0"/>
            </w:tcBorders>
            <w:vAlign w:val="top"/>
          </w:tcPr>
          <w:p>
            <w:r>
              <w:t xml:space="preserve">Perth North Metro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ML503</w:t>
            </w:r>
          </w:p>
        </w:tc>
        <w:tc>
          <w:tcPr>
            <w:tcBorders>
              <w:top w:val="none" w:color="000000" w:sz="0"/>
              <w:left w:val="none" w:color="000000" w:sz="0"/>
              <w:bottom w:val="none" w:color="000000" w:sz="0"/>
              <w:right w:val="none" w:color="000000" w:sz="0"/>
            </w:tcBorders>
            <w:vAlign w:val="top"/>
          </w:tcPr>
          <w:p>
            <w:r>
              <w:t xml:space="preserve">Fremantle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ML504</w:t>
            </w:r>
          </w:p>
        </w:tc>
        <w:tc>
          <w:tcPr>
            <w:tcBorders>
              <w:top w:val="none" w:color="000000" w:sz="0"/>
              <w:left w:val="none" w:color="000000" w:sz="0"/>
              <w:bottom w:val="none" w:color="000000" w:sz="0"/>
              <w:right w:val="none" w:color="000000" w:sz="0"/>
            </w:tcBorders>
            <w:vAlign w:val="top"/>
          </w:tcPr>
          <w:p>
            <w:r>
              <w:t xml:space="preserve">Bentley - Armadale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ML505</w:t>
            </w:r>
          </w:p>
        </w:tc>
        <w:tc>
          <w:tcPr>
            <w:tcBorders>
              <w:top w:val="none" w:color="000000" w:sz="0"/>
              <w:left w:val="none" w:color="000000" w:sz="0"/>
              <w:bottom w:val="none" w:color="000000" w:sz="0"/>
              <w:right w:val="none" w:color="000000" w:sz="0"/>
            </w:tcBorders>
            <w:vAlign w:val="top"/>
          </w:tcPr>
          <w:p>
            <w:r>
              <w:t xml:space="preserve">Perth South Coastal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ML506</w:t>
            </w:r>
          </w:p>
        </w:tc>
        <w:tc>
          <w:tcPr>
            <w:tcBorders>
              <w:top w:val="none" w:color="000000" w:sz="0"/>
              <w:left w:val="none" w:color="000000" w:sz="0"/>
              <w:bottom w:val="none" w:color="000000" w:sz="0"/>
              <w:right w:val="none" w:color="000000" w:sz="0"/>
            </w:tcBorders>
            <w:vAlign w:val="top"/>
          </w:tcPr>
          <w:p>
            <w:r>
              <w:t xml:space="preserve">South West WA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ML507</w:t>
            </w:r>
          </w:p>
        </w:tc>
        <w:tc>
          <w:tcPr>
            <w:tcBorders>
              <w:top w:val="none" w:color="000000" w:sz="0"/>
              <w:left w:val="none" w:color="000000" w:sz="0"/>
              <w:bottom w:val="none" w:color="000000" w:sz="0"/>
              <w:right w:val="none" w:color="000000" w:sz="0"/>
            </w:tcBorders>
            <w:vAlign w:val="top"/>
          </w:tcPr>
          <w:p>
            <w:r>
              <w:t xml:space="preserve">Goldfields - Midwest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ML508</w:t>
            </w:r>
          </w:p>
        </w:tc>
        <w:tc>
          <w:tcPr>
            <w:tcBorders>
              <w:top w:val="none" w:color="000000" w:sz="0"/>
              <w:left w:val="none" w:color="000000" w:sz="0"/>
              <w:bottom w:val="none" w:color="000000" w:sz="0"/>
              <w:right w:val="none" w:color="000000" w:sz="0"/>
            </w:tcBorders>
            <w:vAlign w:val="top"/>
          </w:tcPr>
          <w:p>
            <w:r>
              <w:t xml:space="preserve">Kimberley - Pilbara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ML601</w:t>
            </w:r>
          </w:p>
        </w:tc>
        <w:tc>
          <w:tcPr>
            <w:tcBorders>
              <w:top w:val="none" w:color="000000" w:sz="0"/>
              <w:left w:val="none" w:color="000000" w:sz="0"/>
              <w:bottom w:val="none" w:color="000000" w:sz="0"/>
              <w:right w:val="none" w:color="000000" w:sz="0"/>
            </w:tcBorders>
            <w:vAlign w:val="top"/>
          </w:tcPr>
          <w:p>
            <w:r>
              <w:t xml:space="preserve">Tasmania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ML701</w:t>
            </w:r>
          </w:p>
        </w:tc>
        <w:tc>
          <w:tcPr>
            <w:tcBorders>
              <w:top w:val="none" w:color="000000" w:sz="0"/>
              <w:left w:val="none" w:color="000000" w:sz="0"/>
              <w:bottom w:val="none" w:color="000000" w:sz="0"/>
              <w:right w:val="none" w:color="000000" w:sz="0"/>
            </w:tcBorders>
            <w:vAlign w:val="top"/>
          </w:tcPr>
          <w:p>
            <w:r>
              <w:t xml:space="preserve">Northern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ML801</w:t>
            </w:r>
            <w:r>
              <w:br/>
            </w:r>
            <w:r>
              <w:t xml:space="preserve"> </w:t>
            </w:r>
          </w:p>
        </w:tc>
        <w:tc>
          <w:tcPr>
            <w:tcBorders>
              <w:top w:val="none" w:color="000000" w:sz="0"/>
              <w:left w:val="none" w:color="000000" w:sz="0"/>
              <w:bottom w:val="none" w:color="000000" w:sz="0"/>
              <w:right w:val="none" w:color="000000" w:sz="0"/>
            </w:tcBorders>
            <w:vAlign w:val="top"/>
          </w:tcPr>
          <w:p>
            <w:r>
              <w:t xml:space="preserve">Australian Capital Territory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Maps of the geographical areas covered by the various Medicare Locals and associated digital boundary files, suitable for use in geographic information systems, can be obtained from the Medicare Locals page on the Department of Health and Ageing website:</w:t>
            </w:r>
          </w:p>
          <w:p>
            <w:pPr>
              <w:spacing w:after="160"/>
            </w:pPr>
            <w:r>
              <w:rPr>
                <w:rStyle w:val="row-content-rich-text"/>
              </w:rPr>
              <w:t xml:space="preserve">Medicare locals, Canberra. Viewed 14 July 2014,</w:t>
            </w:r>
          </w:p>
          <w:p>
            <w:hyperlink w:history="true" r:id="R17751b65e9cc40ca">
              <w:r>
                <w:rPr>
                  <w:rStyle w:val="Hyperlink"/>
                  <w:u w:val="single"/>
                </w:rPr>
                <w:t xml:space="preserve">List of Local Government Areas and Statistical Local Areas for each Medicare Local in Excel format (Excel 611 KB)</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Medicare Locals are primary health care organisations established to improve responsiveness, coordinate primary health care delivery and tackle local health care needs and service gaps. A Medicare Local catchment refers to the geographical area of a Medicare local.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62936afda6a8451c">
              <w:r>
                <w:rPr>
                  <w:rStyle w:val="Hyperlink"/>
                </w:rPr>
                <w:t xml:space="preserve">National Health Performance Authority Healthy Communities: Infant and young child mortality rate, 2010–2012</w:t>
              </w:r>
            </w:hyperlink>
          </w:p>
          <w:p>
            <w:pPr>
              <w:spacing w:before="0" w:after="0"/>
            </w:pPr>
            <w:r>
              <w:rPr>
                <w:rStyle w:val="row-content"/>
                <w:color w:val="244061"/>
              </w:rPr>
              <w:t xml:space="preserve">       </w:t>
            </w:r>
            <w:hyperlink w:history="true" r:id="Rbbd61a4228704581">
              <w:r>
                <w:rPr>
                  <w:rStyle w:val="Hyperlink"/>
                  <w:color w:val="244061"/>
                </w:rPr>
                <w:t xml:space="preserve">National Health Performance Authority (retired)</w:t>
              </w:r>
            </w:hyperlink>
            <w:r>
              <w:rPr>
                <w:rStyle w:val="row-content"/>
                <w:color w:val="244061"/>
              </w:rPr>
              <w:t xml:space="preserve">, Retired 01/07/2016</w:t>
            </w:r>
          </w:p>
          <w:p>
            <w:r>
              <w:br/>
            </w:r>
            <w:r>
              <w:rPr>
                <w:rStyle w:val="row-content"/>
              </w:rPr>
              <w:t xml:space="preserve">See also </w:t>
            </w:r>
            <w:hyperlink w:history="true" r:id="R809ea0b5fde14f3f">
              <w:r>
                <w:rPr>
                  <w:rStyle w:val="Hyperlink"/>
                </w:rPr>
                <w:t xml:space="preserve">National Health Performance Authority Healthy Communities: Infant mortality rate, 2010–2012</w:t>
              </w:r>
            </w:hyperlink>
          </w:p>
          <w:p>
            <w:pPr>
              <w:spacing w:before="0" w:after="0"/>
            </w:pPr>
            <w:r>
              <w:rPr>
                <w:rStyle w:val="row-content"/>
                <w:color w:val="244061"/>
              </w:rPr>
              <w:t xml:space="preserve">       </w:t>
            </w:r>
            <w:hyperlink w:history="true" r:id="R73839bbd061e4a18">
              <w:r>
                <w:rPr>
                  <w:rStyle w:val="Hyperlink"/>
                  <w:color w:val="244061"/>
                </w:rPr>
                <w:t xml:space="preserve">National Health Performance Authority (retired)</w:t>
              </w:r>
            </w:hyperlink>
            <w:r>
              <w:rPr>
                <w:rStyle w:val="row-content"/>
                <w:color w:val="244061"/>
              </w:rPr>
              <w:t xml:space="preserve">, Retired 01/07/2016</w:t>
            </w:r>
          </w:p>
          <w:p>
            <w:r>
              <w:br/>
            </w:r>
            <w:r>
              <w:rPr>
                <w:rStyle w:val="row-content"/>
              </w:rPr>
              <w:t xml:space="preserve">See also </w:t>
            </w:r>
            <w:hyperlink w:history="true" r:id="R785b8594e96e4674">
              <w:r>
                <w:rPr>
                  <w:rStyle w:val="Hyperlink"/>
                </w:rPr>
                <w:t xml:space="preserve">National Health Performance Authority Healthy Communities: Percentage of live singleton births that were of low birthweight, 2007–2011</w:t>
              </w:r>
            </w:hyperlink>
          </w:p>
          <w:p>
            <w:pPr>
              <w:spacing w:before="0" w:after="0"/>
            </w:pPr>
            <w:r>
              <w:rPr>
                <w:rStyle w:val="row-content"/>
                <w:color w:val="244061"/>
              </w:rPr>
              <w:t xml:space="preserve">       </w:t>
            </w:r>
            <w:hyperlink w:history="true" r:id="R1980a797468a42cc">
              <w:r>
                <w:rPr>
                  <w:rStyle w:val="Hyperlink"/>
                  <w:color w:val="244061"/>
                </w:rPr>
                <w:t xml:space="preserve">National Health Performance Authority (retired)</w:t>
              </w:r>
            </w:hyperlink>
            <w:r>
              <w:rPr>
                <w:rStyle w:val="row-content"/>
                <w:color w:val="244061"/>
              </w:rPr>
              <w:t xml:space="preserve">, Retired 01/07/2016</w:t>
            </w:r>
          </w:p>
          <w:p>
            <w:r>
              <w:br/>
            </w:r>
            <w:r>
              <w:rPr>
                <w:rStyle w:val="row-content"/>
              </w:rPr>
              <w:t xml:space="preserve">See also </w:t>
            </w:r>
            <w:hyperlink w:history="true" r:id="R088b559d0eee4f7d">
              <w:r>
                <w:rPr>
                  <w:rStyle w:val="Hyperlink"/>
                </w:rPr>
                <w:t xml:space="preserve">National Health Performance Authority Healthy Communities: Percentage of women who gave birth and had at least one antenatal visit in the first trimester, 2010–2011</w:t>
              </w:r>
            </w:hyperlink>
          </w:p>
          <w:p>
            <w:pPr>
              <w:spacing w:before="0" w:after="0"/>
            </w:pPr>
            <w:r>
              <w:rPr>
                <w:rStyle w:val="row-content"/>
                <w:color w:val="244061"/>
              </w:rPr>
              <w:t xml:space="preserve">       </w:t>
            </w:r>
            <w:hyperlink w:history="true" r:id="Raf96e87035dd486d">
              <w:r>
                <w:rPr>
                  <w:rStyle w:val="Hyperlink"/>
                  <w:color w:val="244061"/>
                </w:rPr>
                <w:t xml:space="preserve">National Health Performance Authority (retired)</w:t>
              </w:r>
            </w:hyperlink>
            <w:r>
              <w:rPr>
                <w:rStyle w:val="row-content"/>
                <w:color w:val="244061"/>
              </w:rPr>
              <w:t xml:space="preserve">, Retired 01/07/2016</w:t>
            </w:r>
          </w:p>
          <w:p>
            <w:r>
              <w:br/>
            </w:r>
            <w:r>
              <w:rPr>
                <w:rStyle w:val="row-content"/>
              </w:rPr>
              <w:t xml:space="preserve">See also </w:t>
            </w:r>
            <w:hyperlink w:history="true" r:id="Rff54106467c246db">
              <w:r>
                <w:rPr>
                  <w:rStyle w:val="Hyperlink"/>
                </w:rPr>
                <w:t xml:space="preserve">National Health Performance Authority Healthy Communities: Percentage of women who gave birth and smoked during pregnancy, 2007–2011</w:t>
              </w:r>
            </w:hyperlink>
          </w:p>
          <w:p>
            <w:pPr>
              <w:spacing w:before="0" w:after="0"/>
            </w:pPr>
            <w:r>
              <w:rPr>
                <w:rStyle w:val="row-content"/>
                <w:color w:val="244061"/>
              </w:rPr>
              <w:t xml:space="preserve">       </w:t>
            </w:r>
            <w:hyperlink w:history="true" r:id="Rdba7fc2fa2a84249">
              <w:r>
                <w:rPr>
                  <w:rStyle w:val="Hyperlink"/>
                  <w:color w:val="244061"/>
                </w:rPr>
                <w:t xml:space="preserve">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Disaggregation</w:t>
            </w:r>
            <w:r>
              <w:br/>
            </w:r>
            <w:hyperlink w:history="true" r:id="Rc395ea107e304014">
              <w:r>
                <w:rPr>
                  <w:rStyle w:val="Hyperlink"/>
                </w:rPr>
                <w:t xml:space="preserve">National Health Performance Authority Healthy Communities: Infant and young child mortality rate, 2010–2012</w:t>
              </w:r>
            </w:hyperlink>
          </w:p>
          <w:p>
            <w:pPr>
              <w:spacing w:before="0" w:after="0"/>
            </w:pPr>
            <w:r>
              <w:rPr>
                <w:rStyle w:val="row-content"/>
                <w:color w:val="244061"/>
              </w:rPr>
              <w:t xml:space="preserve">       </w:t>
            </w:r>
            <w:hyperlink w:history="true" r:id="R599ab5a0168e4141">
              <w:r>
                <w:rPr>
                  <w:rStyle w:val="Hyperlink"/>
                  <w:color w:val="244061"/>
                </w:rPr>
                <w:t xml:space="preserve">National Health Performance Authority (retired)</w:t>
              </w:r>
            </w:hyperlink>
            <w:r>
              <w:rPr>
                <w:rStyle w:val="row-content"/>
                <w:color w:val="244061"/>
              </w:rPr>
              <w:t xml:space="preserve">, Retired 01/07/2016</w:t>
            </w:r>
          </w:p>
          <w:p>
            <w:r>
              <w:br/>
            </w:r>
            <w:hyperlink w:history="true" r:id="R4743c683c93743f8">
              <w:r>
                <w:rPr>
                  <w:rStyle w:val="Hyperlink"/>
                </w:rPr>
                <w:t xml:space="preserve">National Health Performance Authority Healthy Communities: Infant mortality rate, 2010–2012</w:t>
              </w:r>
            </w:hyperlink>
          </w:p>
          <w:p>
            <w:pPr>
              <w:spacing w:before="0" w:after="0"/>
            </w:pPr>
            <w:r>
              <w:rPr>
                <w:rStyle w:val="row-content"/>
                <w:color w:val="244061"/>
              </w:rPr>
              <w:t xml:space="preserve">       </w:t>
            </w:r>
            <w:hyperlink w:history="true" r:id="R44a3f64fe19040c6">
              <w:r>
                <w:rPr>
                  <w:rStyle w:val="Hyperlink"/>
                  <w:color w:val="244061"/>
                </w:rPr>
                <w:t xml:space="preserve">National Health Performance Authority (retired)</w:t>
              </w:r>
            </w:hyperlink>
            <w:r>
              <w:rPr>
                <w:rStyle w:val="row-content"/>
                <w:color w:val="244061"/>
              </w:rPr>
              <w:t xml:space="preserve">, Retired 01/07/2016</w:t>
            </w:r>
          </w:p>
          <w:p>
            <w:r>
              <w:br/>
            </w:r>
            <w:hyperlink w:history="true" r:id="R5a63f5285b3a4e68">
              <w:r>
                <w:rPr>
                  <w:rStyle w:val="Hyperlink"/>
                </w:rPr>
                <w:t xml:space="preserve">National Health Performance Authority Healthy Communities: Percentage of live singleton births that were of low birthweight, 2007–2011</w:t>
              </w:r>
            </w:hyperlink>
          </w:p>
          <w:p>
            <w:pPr>
              <w:spacing w:before="0" w:after="0"/>
            </w:pPr>
            <w:r>
              <w:rPr>
                <w:rStyle w:val="row-content"/>
                <w:color w:val="244061"/>
              </w:rPr>
              <w:t xml:space="preserve">       </w:t>
            </w:r>
            <w:hyperlink w:history="true" r:id="R1fd07235a1944937">
              <w:r>
                <w:rPr>
                  <w:rStyle w:val="Hyperlink"/>
                  <w:color w:val="244061"/>
                </w:rPr>
                <w:t xml:space="preserve">National Health Performance Authority (retired)</w:t>
              </w:r>
            </w:hyperlink>
            <w:r>
              <w:rPr>
                <w:rStyle w:val="row-content"/>
                <w:color w:val="244061"/>
              </w:rPr>
              <w:t xml:space="preserve">, Retired 01/07/2016</w:t>
            </w:r>
          </w:p>
          <w:p>
            <w:r>
              <w:br/>
            </w:r>
            <w:hyperlink w:history="true" r:id="Raaf38babcf374f97">
              <w:r>
                <w:rPr>
                  <w:rStyle w:val="Hyperlink"/>
                </w:rPr>
                <w:t xml:space="preserve">National Health Performance Authority Healthy Communities: Percentage of women who gave birth and had at least one antenatal visit in the first trimester, 2010–2011</w:t>
              </w:r>
            </w:hyperlink>
          </w:p>
          <w:p>
            <w:pPr>
              <w:spacing w:before="0" w:after="0"/>
            </w:pPr>
            <w:r>
              <w:rPr>
                <w:rStyle w:val="row-content"/>
                <w:color w:val="244061"/>
              </w:rPr>
              <w:t xml:space="preserve">       </w:t>
            </w:r>
            <w:hyperlink w:history="true" r:id="Rae058ac7800b428e">
              <w:r>
                <w:rPr>
                  <w:rStyle w:val="Hyperlink"/>
                  <w:color w:val="244061"/>
                </w:rPr>
                <w:t xml:space="preserve">National Health Performance Authority (retired)</w:t>
              </w:r>
            </w:hyperlink>
            <w:r>
              <w:rPr>
                <w:rStyle w:val="row-content"/>
                <w:color w:val="244061"/>
              </w:rPr>
              <w:t xml:space="preserve">, Retired 01/07/2016</w:t>
            </w:r>
          </w:p>
          <w:p>
            <w:r>
              <w:br/>
            </w:r>
            <w:hyperlink w:history="true" r:id="R672232771b5844d9">
              <w:r>
                <w:rPr>
                  <w:rStyle w:val="Hyperlink"/>
                </w:rPr>
                <w:t xml:space="preserve">National Health Performance Authority Healthy Communities: Percentage of women who gave birth and smoked during pregnancy, 2007–2011</w:t>
              </w:r>
            </w:hyperlink>
          </w:p>
          <w:p>
            <w:pPr>
              <w:spacing w:before="0" w:after="0"/>
            </w:pPr>
            <w:r>
              <w:rPr>
                <w:rStyle w:val="row-content"/>
                <w:color w:val="244061"/>
              </w:rPr>
              <w:t xml:space="preserve">       </w:t>
            </w:r>
            <w:hyperlink w:history="true" r:id="R6c1f57c5b83740d5">
              <w:r>
                <w:rPr>
                  <w:rStyle w:val="Hyperlink"/>
                  <w:color w:val="244061"/>
                </w:rPr>
                <w:t xml:space="preserve">National Health Performance Authority (retired)</w:t>
              </w:r>
            </w:hyperlink>
            <w:r>
              <w:rPr>
                <w:rStyle w:val="row-content"/>
                <w:color w:val="244061"/>
              </w:rPr>
              <w:t xml:space="preserve">, Retired 01/07/2016</w:t>
            </w:r>
          </w:p>
          <w:p>
            <w:r>
              <w:br/>
            </w:r>
            <w:hyperlink w:history="true" r:id="R8e5c00a8ec474a18">
              <w:r>
                <w:rPr>
                  <w:rStyle w:val="Hyperlink"/>
                </w:rPr>
                <w:t xml:space="preserve">National Health Performance Authority, Healthy Communities: After-hours GP attendances, 2012–13</w:t>
              </w:r>
            </w:hyperlink>
          </w:p>
          <w:p>
            <w:pPr>
              <w:spacing w:before="0" w:after="0"/>
            </w:pPr>
            <w:r>
              <w:rPr>
                <w:rStyle w:val="row-content"/>
                <w:color w:val="244061"/>
              </w:rPr>
              <w:t xml:space="preserve">       </w:t>
            </w:r>
            <w:hyperlink w:history="true" r:id="R753746d6977f47a2">
              <w:r>
                <w:rPr>
                  <w:rStyle w:val="Hyperlink"/>
                  <w:color w:val="244061"/>
                </w:rPr>
                <w:t xml:space="preserve">National Health Performance Authority (retired)</w:t>
              </w:r>
            </w:hyperlink>
            <w:r>
              <w:rPr>
                <w:rStyle w:val="row-content"/>
                <w:color w:val="244061"/>
              </w:rPr>
              <w:t xml:space="preserve">, Retired 01/07/2016</w:t>
            </w:r>
          </w:p>
          <w:p>
            <w:r>
              <w:br/>
            </w:r>
            <w:hyperlink w:history="true" r:id="Rbc86019fc32a489a">
              <w:r>
                <w:rPr>
                  <w:rStyle w:val="Hyperlink"/>
                </w:rPr>
                <w:t xml:space="preserve">National Health Performance Authority, Healthy Communities: Bulk-billed GP attendances, 2012–13</w:t>
              </w:r>
            </w:hyperlink>
          </w:p>
          <w:p>
            <w:pPr>
              <w:spacing w:before="0" w:after="0"/>
            </w:pPr>
            <w:r>
              <w:rPr>
                <w:rStyle w:val="row-content"/>
                <w:color w:val="244061"/>
              </w:rPr>
              <w:t xml:space="preserve">       </w:t>
            </w:r>
            <w:hyperlink w:history="true" r:id="R9ff460841b7a4210">
              <w:r>
                <w:rPr>
                  <w:rStyle w:val="Hyperlink"/>
                  <w:color w:val="244061"/>
                </w:rPr>
                <w:t xml:space="preserve">National Health Performance Authority (retired)</w:t>
              </w:r>
            </w:hyperlink>
            <w:r>
              <w:rPr>
                <w:rStyle w:val="row-content"/>
                <w:color w:val="244061"/>
              </w:rPr>
              <w:t xml:space="preserve">, Retired 01/07/2016</w:t>
            </w:r>
          </w:p>
          <w:p>
            <w:r>
              <w:br/>
            </w:r>
            <w:hyperlink w:history="true" r:id="R6381ebec170940f7">
              <w:r>
                <w:rPr>
                  <w:rStyle w:val="Hyperlink"/>
                </w:rPr>
                <w:t xml:space="preserve">National Health Performance Authority, Healthy Communities: Cost barriers to GP care, 2011–12 </w:t>
              </w:r>
            </w:hyperlink>
          </w:p>
          <w:p>
            <w:pPr>
              <w:spacing w:before="0" w:after="0"/>
            </w:pPr>
            <w:r>
              <w:rPr>
                <w:rStyle w:val="row-content"/>
                <w:color w:val="244061"/>
              </w:rPr>
              <w:t xml:space="preserve">       </w:t>
            </w:r>
            <w:hyperlink w:history="true" r:id="R7ac291d36b5f49df">
              <w:r>
                <w:rPr>
                  <w:rStyle w:val="Hyperlink"/>
                  <w:color w:val="244061"/>
                </w:rPr>
                <w:t xml:space="preserve">National Health Performance Authority (retired)</w:t>
              </w:r>
            </w:hyperlink>
            <w:r>
              <w:rPr>
                <w:rStyle w:val="row-content"/>
                <w:color w:val="244061"/>
              </w:rPr>
              <w:t xml:space="preserve">, Superseded 19/03/2015</w:t>
            </w:r>
          </w:p>
          <w:p>
            <w:r>
              <w:br/>
            </w:r>
            <w:hyperlink w:history="true" r:id="R1afb3dba4c8643d0">
              <w:r>
                <w:rPr>
                  <w:rStyle w:val="Hyperlink"/>
                </w:rPr>
                <w:t xml:space="preserve">National Health Performance Authority, Healthy Communities: Cost barriers to GP care, 2012–13 </w:t>
              </w:r>
            </w:hyperlink>
          </w:p>
          <w:p>
            <w:pPr>
              <w:spacing w:before="0" w:after="0"/>
            </w:pPr>
            <w:r>
              <w:rPr>
                <w:rStyle w:val="row-content"/>
                <w:color w:val="244061"/>
              </w:rPr>
              <w:t xml:space="preserve">       </w:t>
            </w:r>
            <w:hyperlink w:history="true" r:id="R47d1ff48cd8d4e63">
              <w:r>
                <w:rPr>
                  <w:rStyle w:val="Hyperlink"/>
                  <w:color w:val="244061"/>
                </w:rPr>
                <w:t xml:space="preserve">National Health Performance Authority (retired)</w:t>
              </w:r>
            </w:hyperlink>
            <w:r>
              <w:rPr>
                <w:rStyle w:val="row-content"/>
                <w:color w:val="244061"/>
              </w:rPr>
              <w:t xml:space="preserve">, Retired 01/07/2016</w:t>
            </w:r>
          </w:p>
          <w:p>
            <w:r>
              <w:br/>
            </w:r>
            <w:hyperlink w:history="true" r:id="R22badcab815840da">
              <w:r>
                <w:rPr>
                  <w:rStyle w:val="Hyperlink"/>
                </w:rPr>
                <w:t xml:space="preserve">National Health Performance Authority, Healthy Communities: Cost barriers to prescribed medication, 2011–12 </w:t>
              </w:r>
            </w:hyperlink>
          </w:p>
          <w:p>
            <w:pPr>
              <w:spacing w:before="0" w:after="0"/>
            </w:pPr>
            <w:r>
              <w:rPr>
                <w:rStyle w:val="row-content"/>
                <w:color w:val="244061"/>
              </w:rPr>
              <w:t xml:space="preserve">       </w:t>
            </w:r>
            <w:hyperlink w:history="true" r:id="R4d430eff76404c8a">
              <w:r>
                <w:rPr>
                  <w:rStyle w:val="Hyperlink"/>
                  <w:color w:val="244061"/>
                </w:rPr>
                <w:t xml:space="preserve">National Health Performance Authority (retired)</w:t>
              </w:r>
            </w:hyperlink>
            <w:r>
              <w:rPr>
                <w:rStyle w:val="row-content"/>
                <w:color w:val="244061"/>
              </w:rPr>
              <w:t xml:space="preserve">, Superseded 19/03/2015</w:t>
            </w:r>
          </w:p>
          <w:p>
            <w:r>
              <w:br/>
            </w:r>
            <w:hyperlink w:history="true" r:id="Rf5df17f265724bae">
              <w:r>
                <w:rPr>
                  <w:rStyle w:val="Hyperlink"/>
                </w:rPr>
                <w:t xml:space="preserve">National Health Performance Authority, Healthy Communities: Cost barriers to prescribed medication, 2012–13 </w:t>
              </w:r>
            </w:hyperlink>
          </w:p>
          <w:p>
            <w:pPr>
              <w:spacing w:before="0" w:after="0"/>
            </w:pPr>
            <w:r>
              <w:rPr>
                <w:rStyle w:val="row-content"/>
                <w:color w:val="244061"/>
              </w:rPr>
              <w:t xml:space="preserve">       </w:t>
            </w:r>
            <w:hyperlink w:history="true" r:id="R02a6720450194c6d">
              <w:r>
                <w:rPr>
                  <w:rStyle w:val="Hyperlink"/>
                  <w:color w:val="244061"/>
                </w:rPr>
                <w:t xml:space="preserve">National Health Performance Authority (retired)</w:t>
              </w:r>
            </w:hyperlink>
            <w:r>
              <w:rPr>
                <w:rStyle w:val="row-content"/>
                <w:color w:val="244061"/>
              </w:rPr>
              <w:t xml:space="preserve">, Retired 01/07/2016</w:t>
            </w:r>
          </w:p>
          <w:p>
            <w:r>
              <w:br/>
            </w:r>
            <w:hyperlink w:history="true" r:id="R6c285677bced4ae2">
              <w:r>
                <w:rPr>
                  <w:rStyle w:val="Hyperlink"/>
                </w:rPr>
                <w:t xml:space="preserve">National Health Performance Authority, Healthy Communities: Cost barriers to seeing a medical specialist, 2011–12 </w:t>
              </w:r>
            </w:hyperlink>
          </w:p>
          <w:p>
            <w:pPr>
              <w:spacing w:before="0" w:after="0"/>
            </w:pPr>
            <w:r>
              <w:rPr>
                <w:rStyle w:val="row-content"/>
                <w:color w:val="244061"/>
              </w:rPr>
              <w:t xml:space="preserve">       </w:t>
            </w:r>
            <w:hyperlink w:history="true" r:id="Rd79208d2821f491e">
              <w:r>
                <w:rPr>
                  <w:rStyle w:val="Hyperlink"/>
                  <w:color w:val="244061"/>
                </w:rPr>
                <w:t xml:space="preserve">National Health Performance Authority (retired)</w:t>
              </w:r>
            </w:hyperlink>
            <w:r>
              <w:rPr>
                <w:rStyle w:val="row-content"/>
                <w:color w:val="244061"/>
              </w:rPr>
              <w:t xml:space="preserve">, Superseded 19/03/2015</w:t>
            </w:r>
          </w:p>
          <w:p>
            <w:r>
              <w:br/>
            </w:r>
            <w:hyperlink w:history="true" r:id="Rc4b112f0fd604816">
              <w:r>
                <w:rPr>
                  <w:rStyle w:val="Hyperlink"/>
                </w:rPr>
                <w:t xml:space="preserve">National Health Performance Authority, Healthy Communities: Cost barriers to seeing a medical specialist, 2012–13 </w:t>
              </w:r>
            </w:hyperlink>
          </w:p>
          <w:p>
            <w:pPr>
              <w:spacing w:before="0" w:after="0"/>
            </w:pPr>
            <w:r>
              <w:rPr>
                <w:rStyle w:val="row-content"/>
                <w:color w:val="244061"/>
              </w:rPr>
              <w:t xml:space="preserve">       </w:t>
            </w:r>
            <w:hyperlink w:history="true" r:id="R5b0778f4436140fd">
              <w:r>
                <w:rPr>
                  <w:rStyle w:val="Hyperlink"/>
                  <w:color w:val="244061"/>
                </w:rPr>
                <w:t xml:space="preserve">National Health Performance Authority (retired)</w:t>
              </w:r>
            </w:hyperlink>
            <w:r>
              <w:rPr>
                <w:rStyle w:val="row-content"/>
                <w:color w:val="244061"/>
              </w:rPr>
              <w:t xml:space="preserve">, Retired 01/07/2016</w:t>
            </w:r>
          </w:p>
          <w:p>
            <w:r>
              <w:br/>
            </w:r>
            <w:hyperlink w:history="true" r:id="R69ae05fa211e442b">
              <w:r>
                <w:rPr>
                  <w:rStyle w:val="Hyperlink"/>
                </w:rPr>
                <w:t xml:space="preserve">National Health Performance Authority, Healthy Communities: Expenditure on after-hours GP attendances, 2012–13</w:t>
              </w:r>
            </w:hyperlink>
          </w:p>
          <w:p>
            <w:pPr>
              <w:spacing w:before="0" w:after="0"/>
            </w:pPr>
            <w:r>
              <w:rPr>
                <w:rStyle w:val="row-content"/>
                <w:color w:val="244061"/>
              </w:rPr>
              <w:t xml:space="preserve">       </w:t>
            </w:r>
            <w:hyperlink w:history="true" r:id="R1defedb5b39849aa">
              <w:r>
                <w:rPr>
                  <w:rStyle w:val="Hyperlink"/>
                  <w:color w:val="244061"/>
                </w:rPr>
                <w:t xml:space="preserve">National Health Performance Authority (retired)</w:t>
              </w:r>
            </w:hyperlink>
            <w:r>
              <w:rPr>
                <w:rStyle w:val="row-content"/>
                <w:color w:val="244061"/>
              </w:rPr>
              <w:t xml:space="preserve">, Retired 01/07/2016</w:t>
            </w:r>
          </w:p>
          <w:p>
            <w:r>
              <w:br/>
            </w:r>
            <w:hyperlink w:history="true" r:id="R2a468a980eac4ea9">
              <w:r>
                <w:rPr>
                  <w:rStyle w:val="Hyperlink"/>
                </w:rPr>
                <w:t xml:space="preserve">National Health Performance Authority, Healthy Communities: Expenditure on GP attendances, 2012–13</w:t>
              </w:r>
            </w:hyperlink>
          </w:p>
          <w:p>
            <w:pPr>
              <w:spacing w:before="0" w:after="0"/>
            </w:pPr>
            <w:r>
              <w:rPr>
                <w:rStyle w:val="row-content"/>
                <w:color w:val="244061"/>
              </w:rPr>
              <w:t xml:space="preserve">       </w:t>
            </w:r>
            <w:hyperlink w:history="true" r:id="R93959f43d4ef4835">
              <w:r>
                <w:rPr>
                  <w:rStyle w:val="Hyperlink"/>
                  <w:color w:val="244061"/>
                </w:rPr>
                <w:t xml:space="preserve">National Health Performance Authority (retired)</w:t>
              </w:r>
            </w:hyperlink>
            <w:r>
              <w:rPr>
                <w:rStyle w:val="row-content"/>
                <w:color w:val="244061"/>
              </w:rPr>
              <w:t xml:space="preserve">, Retired 01/07/2016</w:t>
            </w:r>
          </w:p>
          <w:p>
            <w:r>
              <w:br/>
            </w:r>
            <w:hyperlink w:history="true" r:id="Rfac5c0400d5b4699">
              <w:r>
                <w:rPr>
                  <w:rStyle w:val="Hyperlink"/>
                </w:rPr>
                <w:t xml:space="preserve">National Health Performance Authority, Healthy Communities: Expenditure on specialist attendances, 2011–12</w:t>
              </w:r>
            </w:hyperlink>
          </w:p>
          <w:p>
            <w:pPr>
              <w:spacing w:before="0" w:after="0"/>
            </w:pPr>
            <w:r>
              <w:rPr>
                <w:rStyle w:val="row-content"/>
                <w:color w:val="244061"/>
              </w:rPr>
              <w:t xml:space="preserve">       </w:t>
            </w:r>
            <w:hyperlink w:history="true" r:id="Rff4573682ff84358">
              <w:r>
                <w:rPr>
                  <w:rStyle w:val="Hyperlink"/>
                  <w:color w:val="244061"/>
                </w:rPr>
                <w:t xml:space="preserve">National Health Performance Authority (retired)</w:t>
              </w:r>
            </w:hyperlink>
            <w:r>
              <w:rPr>
                <w:rStyle w:val="row-content"/>
                <w:color w:val="244061"/>
              </w:rPr>
              <w:t xml:space="preserve">, Superseded 27/03/2014</w:t>
            </w:r>
          </w:p>
          <w:p>
            <w:r>
              <w:br/>
            </w:r>
            <w:hyperlink w:history="true" r:id="Rd36ab0c57b004cdf">
              <w:r>
                <w:rPr>
                  <w:rStyle w:val="Hyperlink"/>
                </w:rPr>
                <w:t xml:space="preserve">National Health Performance Authority, Healthy Communities: Expenditure on specialist attendances, 2012–13</w:t>
              </w:r>
            </w:hyperlink>
          </w:p>
          <w:p>
            <w:pPr>
              <w:spacing w:before="0" w:after="0"/>
            </w:pPr>
            <w:r>
              <w:rPr>
                <w:rStyle w:val="row-content"/>
                <w:color w:val="244061"/>
              </w:rPr>
              <w:t xml:space="preserve">       </w:t>
            </w:r>
            <w:hyperlink w:history="true" r:id="Rbca6f9fde28b4d07">
              <w:r>
                <w:rPr>
                  <w:rStyle w:val="Hyperlink"/>
                  <w:color w:val="244061"/>
                </w:rPr>
                <w:t xml:space="preserve">National Health Performance Authority (retired)</w:t>
              </w:r>
            </w:hyperlink>
            <w:r>
              <w:rPr>
                <w:rStyle w:val="row-content"/>
                <w:color w:val="244061"/>
              </w:rPr>
              <w:t xml:space="preserve">, Retired 01/07/2016</w:t>
            </w:r>
          </w:p>
          <w:p>
            <w:r>
              <w:br/>
            </w:r>
            <w:hyperlink w:history="true" r:id="Rd492aed45ec94574">
              <w:r>
                <w:rPr>
                  <w:rStyle w:val="Hyperlink"/>
                </w:rPr>
                <w:t xml:space="preserve">National Health Performance Authority, Healthy Communities: Frequent GP attenders, 2012–13</w:t>
              </w:r>
            </w:hyperlink>
          </w:p>
          <w:p>
            <w:pPr>
              <w:spacing w:before="0" w:after="0"/>
            </w:pPr>
            <w:r>
              <w:rPr>
                <w:rStyle w:val="row-content"/>
                <w:color w:val="244061"/>
              </w:rPr>
              <w:t xml:space="preserve">       </w:t>
            </w:r>
            <w:hyperlink w:history="true" r:id="Rf695c745db0b41b4">
              <w:r>
                <w:rPr>
                  <w:rStyle w:val="Hyperlink"/>
                  <w:color w:val="244061"/>
                </w:rPr>
                <w:t xml:space="preserve">National Health Performance Authority (retired)</w:t>
              </w:r>
            </w:hyperlink>
            <w:r>
              <w:rPr>
                <w:rStyle w:val="row-content"/>
                <w:color w:val="244061"/>
              </w:rPr>
              <w:t xml:space="preserve">, Retired 01/07/2016</w:t>
            </w:r>
          </w:p>
          <w:p>
            <w:r>
              <w:br/>
            </w:r>
            <w:hyperlink w:history="true" r:id="R498bdc170fd244d8">
              <w:r>
                <w:rPr>
                  <w:rStyle w:val="Hyperlink"/>
                </w:rPr>
                <w:t xml:space="preserve">National Health Performance Authority, Healthy Communities: GP attendances, 2012–13</w:t>
              </w:r>
            </w:hyperlink>
          </w:p>
          <w:p>
            <w:pPr>
              <w:spacing w:before="0" w:after="0"/>
            </w:pPr>
            <w:r>
              <w:rPr>
                <w:rStyle w:val="row-content"/>
                <w:color w:val="244061"/>
              </w:rPr>
              <w:t xml:space="preserve">       </w:t>
            </w:r>
            <w:hyperlink w:history="true" r:id="R5e86c93bfc0a4c70">
              <w:r>
                <w:rPr>
                  <w:rStyle w:val="Hyperlink"/>
                  <w:color w:val="244061"/>
                </w:rPr>
                <w:t xml:space="preserve">National Health Performance Authority (retired)</w:t>
              </w:r>
            </w:hyperlink>
            <w:r>
              <w:rPr>
                <w:rStyle w:val="row-content"/>
                <w:color w:val="244061"/>
              </w:rPr>
              <w:t xml:space="preserve">, Retired 01/07/2016</w:t>
            </w:r>
          </w:p>
          <w:p>
            <w:r>
              <w:br/>
            </w:r>
            <w:hyperlink w:history="true" r:id="R665effe65c7b4528">
              <w:r>
                <w:rPr>
                  <w:rStyle w:val="Hyperlink"/>
                </w:rPr>
                <w:t xml:space="preserve">National Health Performance Authority, Healthy Communities: Hospital emergency department visits, 2011–12 </w:t>
              </w:r>
            </w:hyperlink>
          </w:p>
          <w:p>
            <w:pPr>
              <w:spacing w:before="0" w:after="0"/>
            </w:pPr>
            <w:r>
              <w:rPr>
                <w:rStyle w:val="row-content"/>
                <w:color w:val="244061"/>
              </w:rPr>
              <w:t xml:space="preserve">       </w:t>
            </w:r>
            <w:hyperlink w:history="true" r:id="R144f6ba3206640bf">
              <w:r>
                <w:rPr>
                  <w:rStyle w:val="Hyperlink"/>
                  <w:color w:val="244061"/>
                </w:rPr>
                <w:t xml:space="preserve">National Health Performance Authority (retired)</w:t>
              </w:r>
            </w:hyperlink>
            <w:r>
              <w:rPr>
                <w:rStyle w:val="row-content"/>
                <w:color w:val="244061"/>
              </w:rPr>
              <w:t xml:space="preserve">, Superseded 19/03/2015</w:t>
            </w:r>
          </w:p>
          <w:p>
            <w:r>
              <w:br/>
            </w:r>
            <w:hyperlink w:history="true" r:id="R86c5cb7c38304f9d">
              <w:r>
                <w:rPr>
                  <w:rStyle w:val="Hyperlink"/>
                </w:rPr>
                <w:t xml:space="preserve">National Health Performance Authority, Healthy Communities: Hospital emergency department visits, 2012–13 </w:t>
              </w:r>
            </w:hyperlink>
          </w:p>
          <w:p>
            <w:pPr>
              <w:spacing w:before="0" w:after="0"/>
            </w:pPr>
            <w:r>
              <w:rPr>
                <w:rStyle w:val="row-content"/>
                <w:color w:val="244061"/>
              </w:rPr>
              <w:t xml:space="preserve">       </w:t>
            </w:r>
            <w:hyperlink w:history="true" r:id="R025ef09ae6114f6c">
              <w:r>
                <w:rPr>
                  <w:rStyle w:val="Hyperlink"/>
                  <w:color w:val="244061"/>
                </w:rPr>
                <w:t xml:space="preserve">National Health Performance Authority (retired)</w:t>
              </w:r>
            </w:hyperlink>
            <w:r>
              <w:rPr>
                <w:rStyle w:val="row-content"/>
                <w:color w:val="244061"/>
              </w:rPr>
              <w:t xml:space="preserve">, Retired 01/07/2016</w:t>
            </w:r>
          </w:p>
          <w:p>
            <w:r>
              <w:br/>
            </w:r>
            <w:hyperlink w:history="true" r:id="R31e40d58c2944a9b">
              <w:r>
                <w:rPr>
                  <w:rStyle w:val="Hyperlink"/>
                </w:rPr>
                <w:t xml:space="preserve">National Health Performance Authority, Healthy Communities: Human papillomavirus (HPV) vaccination rates for girls turning 15 years in 2012</w:t>
              </w:r>
            </w:hyperlink>
          </w:p>
          <w:p>
            <w:pPr>
              <w:spacing w:before="0" w:after="0"/>
            </w:pPr>
            <w:r>
              <w:rPr>
                <w:rStyle w:val="row-content"/>
                <w:color w:val="244061"/>
              </w:rPr>
              <w:t xml:space="preserve">       </w:t>
            </w:r>
            <w:hyperlink w:history="true" r:id="R37adef3af25c4b10">
              <w:r>
                <w:rPr>
                  <w:rStyle w:val="Hyperlink"/>
                  <w:color w:val="244061"/>
                </w:rPr>
                <w:t xml:space="preserve">National Health Performance Authority (retired)</w:t>
              </w:r>
            </w:hyperlink>
            <w:r>
              <w:rPr>
                <w:rStyle w:val="row-content"/>
                <w:color w:val="244061"/>
              </w:rPr>
              <w:t xml:space="preserve">, Retired 01/07/2016</w:t>
            </w:r>
          </w:p>
          <w:p>
            <w:r>
              <w:br/>
            </w:r>
            <w:hyperlink w:history="true" r:id="R8bf7c91bd8ac4153">
              <w:r>
                <w:rPr>
                  <w:rStyle w:val="Hyperlink"/>
                </w:rPr>
                <w:t xml:space="preserve">National Health Performance Authority, Healthy Communities: Immunisation rates for children, 2012</w:t>
              </w:r>
            </w:hyperlink>
          </w:p>
          <w:p>
            <w:pPr>
              <w:spacing w:before="0" w:after="0"/>
            </w:pPr>
            <w:r>
              <w:rPr>
                <w:rStyle w:val="row-content"/>
                <w:color w:val="244061"/>
              </w:rPr>
              <w:t xml:space="preserve">       </w:t>
            </w:r>
            <w:hyperlink w:history="true" r:id="Rfb89dbbcea6f4bd4">
              <w:r>
                <w:rPr>
                  <w:rStyle w:val="Hyperlink"/>
                  <w:color w:val="244061"/>
                </w:rPr>
                <w:t xml:space="preserve">National Health Performance Authority (retired)</w:t>
              </w:r>
            </w:hyperlink>
            <w:r>
              <w:rPr>
                <w:rStyle w:val="row-content"/>
                <w:color w:val="244061"/>
              </w:rPr>
              <w:t xml:space="preserve">, Superseded 27/03/2014</w:t>
            </w:r>
          </w:p>
          <w:p>
            <w:r>
              <w:br/>
            </w:r>
            <w:hyperlink w:history="true" r:id="R219814885e7d4439">
              <w:r>
                <w:rPr>
                  <w:rStyle w:val="Hyperlink"/>
                </w:rPr>
                <w:t xml:space="preserve">National Health Performance Authority, Healthy Communities: Immunisation rates for children, 2012–13</w:t>
              </w:r>
            </w:hyperlink>
          </w:p>
          <w:p>
            <w:pPr>
              <w:spacing w:before="0" w:after="0"/>
            </w:pPr>
            <w:r>
              <w:rPr>
                <w:rStyle w:val="row-content"/>
                <w:color w:val="244061"/>
              </w:rPr>
              <w:t xml:space="preserve">       </w:t>
            </w:r>
            <w:hyperlink w:history="true" r:id="R550b2c43811b4244">
              <w:r>
                <w:rPr>
                  <w:rStyle w:val="Hyperlink"/>
                  <w:color w:val="244061"/>
                </w:rPr>
                <w:t xml:space="preserve">National Health Performance Authority (retired)</w:t>
              </w:r>
            </w:hyperlink>
            <w:r>
              <w:rPr>
                <w:rStyle w:val="row-content"/>
                <w:color w:val="244061"/>
              </w:rPr>
              <w:t xml:space="preserve">, Retired 01/07/2016</w:t>
            </w:r>
          </w:p>
          <w:p>
            <w:r>
              <w:br/>
            </w:r>
            <w:hyperlink w:history="true" r:id="Rca05073e5c714785">
              <w:r>
                <w:rPr>
                  <w:rStyle w:val="Hyperlink"/>
                </w:rPr>
                <w:t xml:space="preserve">National Health Performance Authority, Healthy Communities: Life expectancy, 2009–2011</w:t>
              </w:r>
            </w:hyperlink>
          </w:p>
          <w:p>
            <w:pPr>
              <w:spacing w:before="0" w:after="0"/>
            </w:pPr>
            <w:r>
              <w:rPr>
                <w:rStyle w:val="row-content"/>
                <w:color w:val="244061"/>
              </w:rPr>
              <w:t xml:space="preserve">       </w:t>
            </w:r>
            <w:hyperlink w:history="true" r:id="R8ecd1f6ea5184233">
              <w:r>
                <w:rPr>
                  <w:rStyle w:val="Hyperlink"/>
                  <w:color w:val="244061"/>
                </w:rPr>
                <w:t xml:space="preserve">National Health Performance Authority (retired)</w:t>
              </w:r>
            </w:hyperlink>
            <w:r>
              <w:rPr>
                <w:rStyle w:val="row-content"/>
                <w:color w:val="244061"/>
              </w:rPr>
              <w:t xml:space="preserve">, Retired 01/07/2016</w:t>
            </w:r>
          </w:p>
          <w:p>
            <w:r>
              <w:br/>
            </w:r>
            <w:hyperlink w:history="true" r:id="R1a4e42cfab8d4337">
              <w:r>
                <w:rPr>
                  <w:rStyle w:val="Hyperlink"/>
                </w:rPr>
                <w:t xml:space="preserve">National Health Performance Authority, Healthy Communities: Percentage of Australians with a long-term health condition, 2012–13 </w:t>
              </w:r>
            </w:hyperlink>
          </w:p>
          <w:p>
            <w:pPr>
              <w:spacing w:before="0" w:after="0"/>
            </w:pPr>
            <w:r>
              <w:rPr>
                <w:rStyle w:val="row-content"/>
                <w:color w:val="244061"/>
              </w:rPr>
              <w:t xml:space="preserve">       </w:t>
            </w:r>
            <w:hyperlink w:history="true" r:id="Rd0417129bd58469f">
              <w:r>
                <w:rPr>
                  <w:rStyle w:val="Hyperlink"/>
                  <w:color w:val="244061"/>
                </w:rPr>
                <w:t xml:space="preserve">National Health Performance Authority (retired)</w:t>
              </w:r>
            </w:hyperlink>
            <w:r>
              <w:rPr>
                <w:rStyle w:val="row-content"/>
                <w:color w:val="244061"/>
              </w:rPr>
              <w:t xml:space="preserve">, Retired 01/07/2016</w:t>
            </w:r>
          </w:p>
          <w:p>
            <w:r>
              <w:br/>
            </w:r>
            <w:hyperlink w:history="true" r:id="Rf775730b55a54238">
              <w:r>
                <w:rPr>
                  <w:rStyle w:val="Hyperlink"/>
                </w:rPr>
                <w:t xml:space="preserve">National Health Performance Authority, Healthy Communities: Potentially avoidable deaths, 2009–2011</w:t>
              </w:r>
            </w:hyperlink>
          </w:p>
          <w:p>
            <w:pPr>
              <w:spacing w:before="0" w:after="0"/>
            </w:pPr>
            <w:r>
              <w:rPr>
                <w:rStyle w:val="row-content"/>
                <w:color w:val="244061"/>
              </w:rPr>
              <w:t xml:space="preserve">       </w:t>
            </w:r>
            <w:hyperlink w:history="true" r:id="Rcd7e9cfdf1c54af3">
              <w:r>
                <w:rPr>
                  <w:rStyle w:val="Hyperlink"/>
                  <w:color w:val="244061"/>
                </w:rPr>
                <w:t xml:space="preserve">National Health Performance Authority (retired)</w:t>
              </w:r>
            </w:hyperlink>
            <w:r>
              <w:rPr>
                <w:rStyle w:val="row-content"/>
                <w:color w:val="244061"/>
              </w:rPr>
              <w:t xml:space="preserve">, Retired 01/07/2016</w:t>
            </w:r>
          </w:p>
          <w:p>
            <w:r>
              <w:br/>
            </w:r>
            <w:hyperlink w:history="true" r:id="R3e8e26465e5d448d">
              <w:r>
                <w:rPr>
                  <w:rStyle w:val="Hyperlink"/>
                </w:rPr>
                <w:t xml:space="preserve">National Health Performance Authority, Healthy Communities: Satisfaction with waiting times for GPs, 2011–12 </w:t>
              </w:r>
            </w:hyperlink>
          </w:p>
          <w:p>
            <w:pPr>
              <w:spacing w:before="0" w:after="0"/>
            </w:pPr>
            <w:r>
              <w:rPr>
                <w:rStyle w:val="row-content"/>
                <w:color w:val="244061"/>
              </w:rPr>
              <w:t xml:space="preserve">       </w:t>
            </w:r>
            <w:hyperlink w:history="true" r:id="R5e32d8ab9aa34b63">
              <w:r>
                <w:rPr>
                  <w:rStyle w:val="Hyperlink"/>
                  <w:color w:val="244061"/>
                </w:rPr>
                <w:t xml:space="preserve">National Health Performance Authority (retired)</w:t>
              </w:r>
            </w:hyperlink>
            <w:r>
              <w:rPr>
                <w:rStyle w:val="row-content"/>
                <w:color w:val="244061"/>
              </w:rPr>
              <w:t xml:space="preserve">, Superseded 19/03/2015</w:t>
            </w:r>
          </w:p>
          <w:p>
            <w:r>
              <w:br/>
            </w:r>
            <w:hyperlink w:history="true" r:id="R12e3bb4705a84f15">
              <w:r>
                <w:rPr>
                  <w:rStyle w:val="Hyperlink"/>
                </w:rPr>
                <w:t xml:space="preserve">National Health Performance Authority, Healthy Communities: Satisfaction with waiting times for medical specialist, 2011–12 </w:t>
              </w:r>
            </w:hyperlink>
          </w:p>
          <w:p>
            <w:pPr>
              <w:spacing w:before="0" w:after="0"/>
            </w:pPr>
            <w:r>
              <w:rPr>
                <w:rStyle w:val="row-content"/>
                <w:color w:val="244061"/>
              </w:rPr>
              <w:t xml:space="preserve">       </w:t>
            </w:r>
            <w:hyperlink w:history="true" r:id="R2d45b253ecf646f5">
              <w:r>
                <w:rPr>
                  <w:rStyle w:val="Hyperlink"/>
                  <w:color w:val="244061"/>
                </w:rPr>
                <w:t xml:space="preserve">National Health Performance Authority (retired)</w:t>
              </w:r>
            </w:hyperlink>
            <w:r>
              <w:rPr>
                <w:rStyle w:val="row-content"/>
                <w:color w:val="244061"/>
              </w:rPr>
              <w:t xml:space="preserve">, Retired 01/07/2016</w:t>
            </w:r>
          </w:p>
          <w:p>
            <w:r>
              <w:br/>
            </w:r>
            <w:hyperlink w:history="true" r:id="R6f197e60c0074428">
              <w:r>
                <w:rPr>
                  <w:rStyle w:val="Hyperlink"/>
                </w:rPr>
                <w:t xml:space="preserve">National Health Performance Authority, Healthy Communities: Seeing a GP, 2012–13 </w:t>
              </w:r>
            </w:hyperlink>
          </w:p>
          <w:p>
            <w:pPr>
              <w:spacing w:before="0" w:after="0"/>
            </w:pPr>
            <w:r>
              <w:rPr>
                <w:rStyle w:val="row-content"/>
                <w:color w:val="244061"/>
              </w:rPr>
              <w:t xml:space="preserve">       </w:t>
            </w:r>
            <w:hyperlink w:history="true" r:id="R36b2573adc864de0">
              <w:r>
                <w:rPr>
                  <w:rStyle w:val="Hyperlink"/>
                  <w:color w:val="244061"/>
                </w:rPr>
                <w:t xml:space="preserve">National Health Performance Authority (retired)</w:t>
              </w:r>
            </w:hyperlink>
            <w:r>
              <w:rPr>
                <w:rStyle w:val="row-content"/>
                <w:color w:val="244061"/>
              </w:rPr>
              <w:t xml:space="preserve">, Retired 01/07/2016</w:t>
            </w:r>
          </w:p>
          <w:p>
            <w:r>
              <w:br/>
            </w:r>
            <w:hyperlink w:history="true" r:id="R7da780b0e7614b7c">
              <w:r>
                <w:rPr>
                  <w:rStyle w:val="Hyperlink"/>
                </w:rPr>
                <w:t xml:space="preserve">National Health Performance Authority, Healthy Communities: Seeing a medical specialist, 2012–13 </w:t>
              </w:r>
            </w:hyperlink>
          </w:p>
          <w:p>
            <w:pPr>
              <w:spacing w:before="0" w:after="0"/>
            </w:pPr>
            <w:r>
              <w:rPr>
                <w:rStyle w:val="row-content"/>
                <w:color w:val="244061"/>
              </w:rPr>
              <w:t xml:space="preserve">       </w:t>
            </w:r>
            <w:hyperlink w:history="true" r:id="R8e752557389242b3">
              <w:r>
                <w:rPr>
                  <w:rStyle w:val="Hyperlink"/>
                  <w:color w:val="244061"/>
                </w:rPr>
                <w:t xml:space="preserve">National Health Performance Authority (retired)</w:t>
              </w:r>
            </w:hyperlink>
            <w:r>
              <w:rPr>
                <w:rStyle w:val="row-content"/>
                <w:color w:val="244061"/>
              </w:rPr>
              <w:t xml:space="preserve">, Retired 01/07/2016</w:t>
            </w:r>
          </w:p>
          <w:p>
            <w:r>
              <w:br/>
            </w:r>
            <w:hyperlink w:history="true" r:id="Ra4bdd9027d5b4072">
              <w:r>
                <w:rPr>
                  <w:rStyle w:val="Hyperlink"/>
                </w:rPr>
                <w:t xml:space="preserve">National Health Performance Authority, Healthy Communities: Seeing an allied health professional or nurse, 2011–12</w:t>
              </w:r>
            </w:hyperlink>
          </w:p>
          <w:p>
            <w:pPr>
              <w:spacing w:before="0" w:after="0"/>
            </w:pPr>
            <w:r>
              <w:rPr>
                <w:rStyle w:val="row-content"/>
                <w:color w:val="244061"/>
              </w:rPr>
              <w:t xml:space="preserve">       </w:t>
            </w:r>
            <w:hyperlink w:history="true" r:id="Rb0841958d5f24e62">
              <w:r>
                <w:rPr>
                  <w:rStyle w:val="Hyperlink"/>
                  <w:color w:val="244061"/>
                </w:rPr>
                <w:t xml:space="preserve">National Health Performance Authority (retired)</w:t>
              </w:r>
            </w:hyperlink>
            <w:r>
              <w:rPr>
                <w:rStyle w:val="row-content"/>
                <w:color w:val="244061"/>
              </w:rPr>
              <w:t xml:space="preserve">, Retired 01/07/2016</w:t>
            </w:r>
          </w:p>
          <w:p>
            <w:r>
              <w:br/>
            </w:r>
            <w:hyperlink w:history="true" r:id="Rdac978feb5f44e40">
              <w:r>
                <w:rPr>
                  <w:rStyle w:val="Hyperlink"/>
                </w:rPr>
                <w:t xml:space="preserve">National Health Performance Authority, Healthy Communities: Seeing three or more health professionals, 2012–13 </w:t>
              </w:r>
            </w:hyperlink>
          </w:p>
          <w:p>
            <w:pPr>
              <w:spacing w:before="0" w:after="0"/>
            </w:pPr>
            <w:r>
              <w:rPr>
                <w:rStyle w:val="row-content"/>
                <w:color w:val="244061"/>
              </w:rPr>
              <w:t xml:space="preserve">       </w:t>
            </w:r>
            <w:hyperlink w:history="true" r:id="R0dbfa0e6f30c4441">
              <w:r>
                <w:rPr>
                  <w:rStyle w:val="Hyperlink"/>
                  <w:color w:val="244061"/>
                </w:rPr>
                <w:t xml:space="preserve">National Health Performance Authority (retired)</w:t>
              </w:r>
            </w:hyperlink>
            <w:r>
              <w:rPr>
                <w:rStyle w:val="row-content"/>
                <w:color w:val="244061"/>
              </w:rPr>
              <w:t xml:space="preserve">, Retired 01/07/2016</w:t>
            </w:r>
          </w:p>
          <w:p>
            <w:r>
              <w:br/>
            </w:r>
            <w:hyperlink w:history="true" r:id="Raeffe7aeae5a42aa">
              <w:r>
                <w:rPr>
                  <w:rStyle w:val="Hyperlink"/>
                </w:rPr>
                <w:t xml:space="preserve">National Health Performance Authority, Healthy Communities: Self-reported admissions to hospital, 2011–12 </w:t>
              </w:r>
            </w:hyperlink>
          </w:p>
          <w:p>
            <w:pPr>
              <w:spacing w:before="0" w:after="0"/>
            </w:pPr>
            <w:r>
              <w:rPr>
                <w:rStyle w:val="row-content"/>
                <w:color w:val="244061"/>
              </w:rPr>
              <w:t xml:space="preserve">       </w:t>
            </w:r>
            <w:hyperlink w:history="true" r:id="R99eeb7f4daac4374">
              <w:r>
                <w:rPr>
                  <w:rStyle w:val="Hyperlink"/>
                  <w:color w:val="244061"/>
                </w:rPr>
                <w:t xml:space="preserve">National Health Performance Authority (retired)</w:t>
              </w:r>
            </w:hyperlink>
            <w:r>
              <w:rPr>
                <w:rStyle w:val="row-content"/>
                <w:color w:val="244061"/>
              </w:rPr>
              <w:t xml:space="preserve">, Superseded 19/03/2015</w:t>
            </w:r>
          </w:p>
          <w:p>
            <w:r>
              <w:br/>
            </w:r>
            <w:hyperlink w:history="true" r:id="Rdf89cd20bfcc4020">
              <w:r>
                <w:rPr>
                  <w:rStyle w:val="Hyperlink"/>
                </w:rPr>
                <w:t xml:space="preserve">National Health Performance Authority, Healthy Communities: Self-reported admissions to hospital, 2012–13 </w:t>
              </w:r>
            </w:hyperlink>
          </w:p>
          <w:p>
            <w:pPr>
              <w:spacing w:before="0" w:after="0"/>
            </w:pPr>
            <w:r>
              <w:rPr>
                <w:rStyle w:val="row-content"/>
                <w:color w:val="244061"/>
              </w:rPr>
              <w:t xml:space="preserve">       </w:t>
            </w:r>
            <w:hyperlink w:history="true" r:id="R054767d47a404b24">
              <w:r>
                <w:rPr>
                  <w:rStyle w:val="Hyperlink"/>
                  <w:color w:val="244061"/>
                </w:rPr>
                <w:t xml:space="preserve">National Health Performance Authority (retired)</w:t>
              </w:r>
            </w:hyperlink>
            <w:r>
              <w:rPr>
                <w:rStyle w:val="row-content"/>
                <w:color w:val="244061"/>
              </w:rPr>
              <w:t xml:space="preserve">, Retired 01/07/2016</w:t>
            </w:r>
          </w:p>
          <w:p>
            <w:r>
              <w:br/>
            </w:r>
            <w:hyperlink w:history="true" r:id="Rbebc8481ea074691">
              <w:r>
                <w:rPr>
                  <w:rStyle w:val="Hyperlink"/>
                </w:rPr>
                <w:t xml:space="preserve">National Health Performance Authority, Healthy Communities: Specialist attendances,  2011–12</w:t>
              </w:r>
            </w:hyperlink>
          </w:p>
          <w:p>
            <w:pPr>
              <w:spacing w:before="0" w:after="0"/>
            </w:pPr>
            <w:r>
              <w:rPr>
                <w:rStyle w:val="row-content"/>
                <w:color w:val="244061"/>
              </w:rPr>
              <w:t xml:space="preserve">       </w:t>
            </w:r>
            <w:hyperlink w:history="true" r:id="Radaaf602d499478d">
              <w:r>
                <w:rPr>
                  <w:rStyle w:val="Hyperlink"/>
                  <w:color w:val="244061"/>
                </w:rPr>
                <w:t xml:space="preserve">National Health Performance Authority (retired)</w:t>
              </w:r>
            </w:hyperlink>
            <w:r>
              <w:rPr>
                <w:rStyle w:val="row-content"/>
                <w:color w:val="244061"/>
              </w:rPr>
              <w:t xml:space="preserve">, Superseded 27/03/2014</w:t>
            </w:r>
          </w:p>
          <w:p>
            <w:r>
              <w:br/>
            </w:r>
            <w:hyperlink w:history="true" r:id="R027e9e95c27c44d2">
              <w:r>
                <w:rPr>
                  <w:rStyle w:val="Hyperlink"/>
                </w:rPr>
                <w:t xml:space="preserve">National Health Performance Authority, Healthy Communities: Specialist attendances, 2012–13</w:t>
              </w:r>
            </w:hyperlink>
          </w:p>
          <w:p>
            <w:pPr>
              <w:spacing w:before="0" w:after="0"/>
            </w:pPr>
            <w:r>
              <w:rPr>
                <w:rStyle w:val="row-content"/>
                <w:color w:val="244061"/>
              </w:rPr>
              <w:t xml:space="preserve">       </w:t>
            </w:r>
            <w:hyperlink w:history="true" r:id="R0018a254d8aa4be4">
              <w:r>
                <w:rPr>
                  <w:rStyle w:val="Hyperlink"/>
                  <w:color w:val="244061"/>
                </w:rPr>
                <w:t xml:space="preserve">National Health Performance Authority (retired)</w:t>
              </w:r>
            </w:hyperlink>
            <w:r>
              <w:rPr>
                <w:rStyle w:val="row-content"/>
                <w:color w:val="244061"/>
              </w:rPr>
              <w:t xml:space="preserve">, Retired 01/07/2016</w:t>
            </w:r>
          </w:p>
          <w:p>
            <w:r>
              <w:br/>
            </w:r>
            <w:hyperlink w:history="true" r:id="R4fd5714946374cdb">
              <w:r>
                <w:rPr>
                  <w:rStyle w:val="Hyperlink"/>
                </w:rPr>
                <w:t xml:space="preserve">National Health Performance Authority, Healthy Communities: Very high GP attenders, 2012–13</w:t>
              </w:r>
            </w:hyperlink>
          </w:p>
          <w:p>
            <w:pPr>
              <w:spacing w:before="0" w:after="0"/>
            </w:pPr>
            <w:r>
              <w:rPr>
                <w:rStyle w:val="row-content"/>
                <w:color w:val="244061"/>
              </w:rPr>
              <w:t xml:space="preserve">       </w:t>
            </w:r>
            <w:hyperlink w:history="true" r:id="R59c93d8f63c74585">
              <w:r>
                <w:rPr>
                  <w:rStyle w:val="Hyperlink"/>
                  <w:color w:val="244061"/>
                </w:rPr>
                <w:t xml:space="preserve">National Health Performance Authority (retired)</w:t>
              </w:r>
            </w:hyperlink>
            <w:r>
              <w:rPr>
                <w:rStyle w:val="row-content"/>
                <w:color w:val="244061"/>
              </w:rPr>
              <w:t xml:space="preserve">, Retired 01/07/2016</w:t>
            </w:r>
          </w:p>
          <w:p>
            <w:r>
              <w:br/>
            </w:r>
            <w:hyperlink w:history="true" r:id="Rd078514c9c5f471c">
              <w:r>
                <w:rPr>
                  <w:rStyle w:val="Hyperlink"/>
                </w:rPr>
                <w:t xml:space="preserve">National Health Performance Authority, Healthy Communities: Visits to hospital emergency department instead of GPs, 2012–13 </w:t>
              </w:r>
            </w:hyperlink>
          </w:p>
          <w:p>
            <w:pPr>
              <w:spacing w:before="0" w:after="0"/>
            </w:pPr>
            <w:r>
              <w:rPr>
                <w:rStyle w:val="row-content"/>
                <w:color w:val="244061"/>
              </w:rPr>
              <w:t xml:space="preserve">       </w:t>
            </w:r>
            <w:hyperlink w:history="true" r:id="R07117b96470e4919">
              <w:r>
                <w:rPr>
                  <w:rStyle w:val="Hyperlink"/>
                  <w:color w:val="244061"/>
                </w:rPr>
                <w:t xml:space="preserve">National Health Performance Authority (retired)</w:t>
              </w:r>
            </w:hyperlink>
            <w:r>
              <w:rPr>
                <w:rStyle w:val="row-content"/>
                <w:color w:val="244061"/>
              </w:rPr>
              <w:t xml:space="preserve">, Retired 01/07/2016</w:t>
            </w:r>
          </w:p>
          <w:p>
            <w:r>
              <w:br/>
            </w:r>
            <w:hyperlink w:history="true" r:id="R9e38ce6921ca4078">
              <w:r>
                <w:rPr>
                  <w:rStyle w:val="Hyperlink"/>
                </w:rPr>
                <w:t xml:space="preserve">National Health Performance Authority, Healthy Communities: Waiting times for GP appointments, 2012–13</w:t>
              </w:r>
            </w:hyperlink>
          </w:p>
          <w:p>
            <w:pPr>
              <w:spacing w:before="0" w:after="0"/>
            </w:pPr>
            <w:r>
              <w:rPr>
                <w:rStyle w:val="row-content"/>
                <w:color w:val="244061"/>
              </w:rPr>
              <w:t xml:space="preserve">       </w:t>
            </w:r>
            <w:hyperlink w:history="true" r:id="Rfd30ff323797400d">
              <w:r>
                <w:rPr>
                  <w:rStyle w:val="Hyperlink"/>
                  <w:color w:val="244061"/>
                </w:rPr>
                <w:t xml:space="preserve">National Health Performance Authority (retired)</w:t>
              </w:r>
            </w:hyperlink>
            <w:r>
              <w:rPr>
                <w:rStyle w:val="row-content"/>
                <w:color w:val="244061"/>
              </w:rPr>
              <w:t xml:space="preserve">, Retired 01/07/2016</w:t>
            </w:r>
          </w:p>
          <w:p>
            <w:r>
              <w:br/>
            </w:r>
            <w:hyperlink w:history="true" r:id="Rb11083d4d81f487a">
              <w:r>
                <w:rPr>
                  <w:rStyle w:val="Hyperlink"/>
                </w:rPr>
                <w:t xml:space="preserve">National Health Performance Authority, Healthy Communities: Waiting times for urgent GP appointments, 2012–13 </w:t>
              </w:r>
            </w:hyperlink>
          </w:p>
          <w:p>
            <w:pPr>
              <w:spacing w:before="0" w:after="0"/>
            </w:pPr>
            <w:r>
              <w:rPr>
                <w:rStyle w:val="row-content"/>
                <w:color w:val="244061"/>
              </w:rPr>
              <w:t xml:space="preserve">       </w:t>
            </w:r>
            <w:hyperlink w:history="true" r:id="Ree16ca15a3174df7">
              <w:r>
                <w:rPr>
                  <w:rStyle w:val="Hyperlink"/>
                  <w:color w:val="244061"/>
                </w:rPr>
                <w:t xml:space="preserve">National Health Performance Authority (retired)</w:t>
              </w:r>
            </w:hyperlink>
            <w:r>
              <w:rPr>
                <w:rStyle w:val="row-content"/>
                <w:color w:val="244061"/>
              </w:rPr>
              <w:t xml:space="preserve">, Retired 01/07/2016</w:t>
            </w:r>
          </w:p>
          <w:p>
            <w:r>
              <w:br/>
            </w:r>
            <w:hyperlink w:history="true" r:id="Raeea83a419fb4896">
              <w:r>
                <w:rPr>
                  <w:rStyle w:val="Hyperlink"/>
                </w:rPr>
                <w:t xml:space="preserve">National Health Performance Authority: Healthy Communities: Percentage of GP consultations in which a selected cardiovascular risk condition was managed 2009-2013</w:t>
              </w:r>
            </w:hyperlink>
          </w:p>
          <w:p>
            <w:pPr>
              <w:spacing w:before="0" w:after="0"/>
            </w:pPr>
            <w:r>
              <w:rPr>
                <w:rStyle w:val="row-content"/>
                <w:color w:val="244061"/>
              </w:rPr>
              <w:t xml:space="preserve">       </w:t>
            </w:r>
            <w:hyperlink w:history="true" r:id="R8d4fa94e940c4158">
              <w:r>
                <w:rPr>
                  <w:rStyle w:val="Hyperlink"/>
                  <w:color w:val="244061"/>
                </w:rPr>
                <w:t xml:space="preserve">National Health Performance Authority (retired)</w:t>
              </w:r>
            </w:hyperlink>
            <w:r>
              <w:rPr>
                <w:rStyle w:val="row-content"/>
                <w:color w:val="244061"/>
              </w:rPr>
              <w:t xml:space="preserve">, Retired 01/07/2016</w:t>
            </w:r>
          </w:p>
          <w:p>
            <w:r>
              <w:br/>
            </w:r>
            <w:hyperlink w:history="true" r:id="Ra85e5d5117334ccf">
              <w:r>
                <w:rPr>
                  <w:rStyle w:val="Hyperlink"/>
                </w:rPr>
                <w:t xml:space="preserve">National Health Performance Authority: Healthy Communities: Percentage of GP consultations in which arthritis or chronic back pain was managed 2009-2013</w:t>
              </w:r>
            </w:hyperlink>
          </w:p>
          <w:p>
            <w:pPr>
              <w:spacing w:before="0" w:after="0"/>
            </w:pPr>
            <w:r>
              <w:rPr>
                <w:rStyle w:val="row-content"/>
                <w:color w:val="244061"/>
              </w:rPr>
              <w:t xml:space="preserve">       </w:t>
            </w:r>
            <w:hyperlink w:history="true" r:id="R37db290761724ba6">
              <w:r>
                <w:rPr>
                  <w:rStyle w:val="Hyperlink"/>
                  <w:color w:val="244061"/>
                </w:rPr>
                <w:t xml:space="preserve">National Health Performance Authority (retired)</w:t>
              </w:r>
            </w:hyperlink>
            <w:r>
              <w:rPr>
                <w:rStyle w:val="row-content"/>
                <w:color w:val="244061"/>
              </w:rPr>
              <w:t xml:space="preserve">, Retired 01/07/2016</w:t>
            </w:r>
          </w:p>
          <w:p>
            <w:r>
              <w:br/>
            </w:r>
            <w:hyperlink w:history="true" r:id="R64fb003178db47bd">
              <w:r>
                <w:rPr>
                  <w:rStyle w:val="Hyperlink"/>
                </w:rPr>
                <w:t xml:space="preserve">National Health Performance Authority: Healthy Communities: Percentage of GP consultations in which depression or anxiety were managed 2009-2013</w:t>
              </w:r>
            </w:hyperlink>
          </w:p>
          <w:p>
            <w:pPr>
              <w:spacing w:before="0" w:after="0"/>
            </w:pPr>
            <w:r>
              <w:rPr>
                <w:rStyle w:val="row-content"/>
                <w:color w:val="244061"/>
              </w:rPr>
              <w:t xml:space="preserve">       </w:t>
            </w:r>
            <w:hyperlink w:history="true" r:id="Rdeb35cc14c714340">
              <w:r>
                <w:rPr>
                  <w:rStyle w:val="Hyperlink"/>
                  <w:color w:val="244061"/>
                </w:rPr>
                <w:t xml:space="preserve">National Health Performance Authority (retired)</w:t>
              </w:r>
            </w:hyperlink>
            <w:r>
              <w:rPr>
                <w:rStyle w:val="row-content"/>
                <w:color w:val="244061"/>
              </w:rPr>
              <w:t xml:space="preserve">, Retired 01/07/2016</w:t>
            </w:r>
          </w:p>
          <w:p>
            <w:r>
              <w:br/>
            </w:r>
            <w:hyperlink w:history="true" r:id="R0565e74655db4952">
              <w:r>
                <w:rPr>
                  <w:rStyle w:val="Hyperlink"/>
                </w:rPr>
                <w:t xml:space="preserve">National Health Performance Authority: Healthy Communities: Percentage of GP management occasions in which a medication was prescribed in the management of arthritis or chronic back pain 2009-2013</w:t>
              </w:r>
            </w:hyperlink>
          </w:p>
          <w:p>
            <w:pPr>
              <w:spacing w:before="0" w:after="0"/>
            </w:pPr>
            <w:r>
              <w:rPr>
                <w:rStyle w:val="row-content"/>
                <w:color w:val="244061"/>
              </w:rPr>
              <w:t xml:space="preserve">       </w:t>
            </w:r>
            <w:hyperlink w:history="true" r:id="Rd044021531614282">
              <w:r>
                <w:rPr>
                  <w:rStyle w:val="Hyperlink"/>
                  <w:color w:val="244061"/>
                </w:rPr>
                <w:t xml:space="preserve">National Health Performance Authority (retired)</w:t>
              </w:r>
            </w:hyperlink>
            <w:r>
              <w:rPr>
                <w:rStyle w:val="row-content"/>
                <w:color w:val="244061"/>
              </w:rPr>
              <w:t xml:space="preserve">, Retired 01/07/2016</w:t>
            </w:r>
          </w:p>
          <w:p>
            <w:r>
              <w:br/>
            </w:r>
            <w:hyperlink w:history="true" r:id="R8c6b0899c3884ae1">
              <w:r>
                <w:rPr>
                  <w:rStyle w:val="Hyperlink"/>
                </w:rPr>
                <w:t xml:space="preserve">National Health Performance Authority: Healthy Communities: Percentage of GP management occasions in which a referral to a health professional was provided in the management of a selected cardiovascular risk condition 2009-2013</w:t>
              </w:r>
            </w:hyperlink>
          </w:p>
          <w:p>
            <w:pPr>
              <w:spacing w:before="0" w:after="0"/>
            </w:pPr>
            <w:r>
              <w:rPr>
                <w:rStyle w:val="row-content"/>
                <w:color w:val="244061"/>
              </w:rPr>
              <w:t xml:space="preserve">       </w:t>
            </w:r>
            <w:hyperlink w:history="true" r:id="Rc0bf0a1e7a2d41bf">
              <w:r>
                <w:rPr>
                  <w:rStyle w:val="Hyperlink"/>
                  <w:color w:val="244061"/>
                </w:rPr>
                <w:t xml:space="preserve">National Health Performance Authority (retired)</w:t>
              </w:r>
            </w:hyperlink>
            <w:r>
              <w:rPr>
                <w:rStyle w:val="row-content"/>
                <w:color w:val="244061"/>
              </w:rPr>
              <w:t xml:space="preserve">, Retired 01/07/2016</w:t>
            </w:r>
          </w:p>
          <w:p>
            <w:r>
              <w:br/>
            </w:r>
            <w:hyperlink w:history="true" r:id="Re80886d45a17464b">
              <w:r>
                <w:rPr>
                  <w:rStyle w:val="Hyperlink"/>
                </w:rPr>
                <w:t xml:space="preserve">National Health Performance Authority: Healthy Communities: Percentage of GP management occasions in which a referral to a health professional was provided in the management of arthritis or chronic back pain 2009-2013</w:t>
              </w:r>
            </w:hyperlink>
          </w:p>
          <w:p>
            <w:pPr>
              <w:spacing w:before="0" w:after="0"/>
            </w:pPr>
            <w:r>
              <w:rPr>
                <w:rStyle w:val="row-content"/>
                <w:color w:val="244061"/>
              </w:rPr>
              <w:t xml:space="preserve">       </w:t>
            </w:r>
            <w:hyperlink w:history="true" r:id="R7fa4de7bf10847bf">
              <w:r>
                <w:rPr>
                  <w:rStyle w:val="Hyperlink"/>
                  <w:color w:val="244061"/>
                </w:rPr>
                <w:t xml:space="preserve">National Health Performance Authority (retired)</w:t>
              </w:r>
            </w:hyperlink>
            <w:r>
              <w:rPr>
                <w:rStyle w:val="row-content"/>
                <w:color w:val="244061"/>
              </w:rPr>
              <w:t xml:space="preserve">, Retired 01/07/2016</w:t>
            </w:r>
          </w:p>
          <w:p>
            <w:r>
              <w:br/>
            </w:r>
            <w:hyperlink w:history="true" r:id="R3a68e70af1f341c5">
              <w:r>
                <w:rPr>
                  <w:rStyle w:val="Hyperlink"/>
                </w:rPr>
                <w:t xml:space="preserve">National Health Performance Authority: Healthy Communities: Percentage of GP management occasions in which a referral to a health professional was provided in the management of depression or anxiety 2009-2013</w:t>
              </w:r>
            </w:hyperlink>
          </w:p>
          <w:p>
            <w:pPr>
              <w:spacing w:before="0" w:after="0"/>
            </w:pPr>
            <w:r>
              <w:rPr>
                <w:rStyle w:val="row-content"/>
                <w:color w:val="244061"/>
              </w:rPr>
              <w:t xml:space="preserve">       </w:t>
            </w:r>
            <w:hyperlink w:history="true" r:id="Rdc71f0368b5d462d">
              <w:r>
                <w:rPr>
                  <w:rStyle w:val="Hyperlink"/>
                  <w:color w:val="244061"/>
                </w:rPr>
                <w:t xml:space="preserve">National Health Performance Authority (retired)</w:t>
              </w:r>
            </w:hyperlink>
            <w:r>
              <w:rPr>
                <w:rStyle w:val="row-content"/>
                <w:color w:val="244061"/>
              </w:rPr>
              <w:t xml:space="preserve">, Retired 01/07/2016</w:t>
            </w:r>
          </w:p>
          <w:p>
            <w:r>
              <w:br/>
            </w:r>
            <w:hyperlink w:history="true" r:id="Rece5a266cb174387">
              <w:r>
                <w:rPr>
                  <w:rStyle w:val="Hyperlink"/>
                </w:rPr>
                <w:t xml:space="preserve">National Health Performance Authority: Healthy Communities: Percentage of GP management occasions in which counselling was provided in the management of depression or anxiety 2009-2013</w:t>
              </w:r>
            </w:hyperlink>
          </w:p>
          <w:p>
            <w:pPr>
              <w:spacing w:before="0" w:after="0"/>
            </w:pPr>
            <w:r>
              <w:rPr>
                <w:rStyle w:val="row-content"/>
                <w:color w:val="244061"/>
              </w:rPr>
              <w:t xml:space="preserve">       </w:t>
            </w:r>
            <w:hyperlink w:history="true" r:id="R9ef237f82ba743e9">
              <w:r>
                <w:rPr>
                  <w:rStyle w:val="Hyperlink"/>
                  <w:color w:val="244061"/>
                </w:rPr>
                <w:t xml:space="preserve">National Health Performance Authority (retired)</w:t>
              </w:r>
            </w:hyperlink>
            <w:r>
              <w:rPr>
                <w:rStyle w:val="row-content"/>
                <w:color w:val="244061"/>
              </w:rPr>
              <w:t xml:space="preserve">, Retired 01/07/2016</w:t>
            </w:r>
          </w:p>
          <w:p>
            <w:r>
              <w:br/>
            </w:r>
            <w:hyperlink w:history="true" r:id="R863e7a675b0344ea">
              <w:r>
                <w:rPr>
                  <w:rStyle w:val="Hyperlink"/>
                </w:rPr>
                <w:t xml:space="preserve">National Health Performance Authority: Healthy Communities: Percentage of GP management occasions in which imaging was ordered in the management of arthritis or chronic back pain 2009-2013</w:t>
              </w:r>
            </w:hyperlink>
          </w:p>
          <w:p>
            <w:pPr>
              <w:spacing w:before="0" w:after="0"/>
            </w:pPr>
            <w:r>
              <w:rPr>
                <w:rStyle w:val="row-content"/>
                <w:color w:val="244061"/>
              </w:rPr>
              <w:t xml:space="preserve">       </w:t>
            </w:r>
            <w:hyperlink w:history="true" r:id="R708ce9fede1443e4">
              <w:r>
                <w:rPr>
                  <w:rStyle w:val="Hyperlink"/>
                  <w:color w:val="244061"/>
                </w:rPr>
                <w:t xml:space="preserve">National Health Performance Authority (retired)</w:t>
              </w:r>
            </w:hyperlink>
            <w:r>
              <w:rPr>
                <w:rStyle w:val="row-content"/>
                <w:color w:val="244061"/>
              </w:rPr>
              <w:t xml:space="preserve">, Retired 01/07/2016</w:t>
            </w:r>
          </w:p>
          <w:p>
            <w:r>
              <w:br/>
            </w:r>
            <w:hyperlink w:history="true" r:id="R4737416c2b424312">
              <w:r>
                <w:rPr>
                  <w:rStyle w:val="Hyperlink"/>
                </w:rPr>
                <w:t xml:space="preserve">National Health Performance Authority: Healthy Communities: Percentage of GP management occasions in which psychotropics were prescribed in the management of depression or anxiety 2009-2013</w:t>
              </w:r>
            </w:hyperlink>
          </w:p>
          <w:p>
            <w:pPr>
              <w:spacing w:before="0" w:after="0"/>
            </w:pPr>
            <w:r>
              <w:rPr>
                <w:rStyle w:val="row-content"/>
                <w:color w:val="244061"/>
              </w:rPr>
              <w:t xml:space="preserve">       </w:t>
            </w:r>
            <w:hyperlink w:history="true" r:id="Rcbd13d6ffa0d4f8e">
              <w:r>
                <w:rPr>
                  <w:rStyle w:val="Hyperlink"/>
                  <w:color w:val="244061"/>
                </w:rPr>
                <w:t xml:space="preserve">National Health Performance Authority (retired)</w:t>
              </w:r>
            </w:hyperlink>
            <w:r>
              <w:rPr>
                <w:rStyle w:val="row-content"/>
                <w:color w:val="244061"/>
              </w:rPr>
              <w:t xml:space="preserve">, Retired 01/07/2016</w:t>
            </w:r>
          </w:p>
          <w:p>
            <w:r>
              <w:br/>
            </w:r>
            <w:hyperlink w:history="true" r:id="R299d6585273b4f20">
              <w:r>
                <w:rPr>
                  <w:rStyle w:val="Hyperlink"/>
                </w:rPr>
                <w:t xml:space="preserve">National Health Performance Authority: Healthy Communities: Percentage of GP management occasions in which statins were prescribed in the management of a selected cardiovascular risk condition 2009-2013</w:t>
              </w:r>
            </w:hyperlink>
          </w:p>
          <w:p>
            <w:pPr>
              <w:spacing w:before="0" w:after="0"/>
            </w:pPr>
            <w:r>
              <w:rPr>
                <w:rStyle w:val="row-content"/>
                <w:color w:val="244061"/>
              </w:rPr>
              <w:t xml:space="preserve">       </w:t>
            </w:r>
            <w:hyperlink w:history="true" r:id="Rb1a3689088fa4ede">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0" w:type="auto"/>
      </w:tblPr>
    </w:tbl>
    <w:p>
      <w:r>
        <w:br/>
      </w:r>
    </w:p>
    <w:sectPr>
      <w:footerReference xmlns:r="http://schemas.openxmlformats.org/officeDocument/2006/relationships" w:type="default" r:id="R8d0b875a15764bd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513288</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88786d16c4b48e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d0b875a15764bd9" /><Relationship Type="http://schemas.openxmlformats.org/officeDocument/2006/relationships/header" Target="/word/header1.xml" Id="R4e44ca8f549742a3" /><Relationship Type="http://schemas.openxmlformats.org/officeDocument/2006/relationships/settings" Target="/word/settings.xml" Id="R3f9b5ee9e1a84b20" /><Relationship Type="http://schemas.openxmlformats.org/officeDocument/2006/relationships/styles" Target="/word/styles.xml" Id="Rd40ac3c71f864c09" /><Relationship Type="http://schemas.openxmlformats.org/officeDocument/2006/relationships/hyperlink" Target="https://meteor.aihw.gov.au/RegistrationAuthority/8" TargetMode="External" Id="R30b38ab7c8504b1f" /><Relationship Type="http://schemas.openxmlformats.org/officeDocument/2006/relationships/hyperlink" Target="https://meteor.aihw.gov.au/content/517967" TargetMode="External" Id="R07068ed409c34caf" /><Relationship Type="http://schemas.openxmlformats.org/officeDocument/2006/relationships/hyperlink" Target="https://meteor.aihw.gov.au/content/513285" TargetMode="External" Id="Rd7a8ea2455e745b6" /><Relationship Type="http://schemas.openxmlformats.org/officeDocument/2006/relationships/hyperlink" Target="https://meteor.aihw.gov.au/content/512829" TargetMode="External" Id="Rc55c713167c443a4" /><Relationship Type="http://schemas.openxmlformats.org/officeDocument/2006/relationships/hyperlink" Target="http://www.medicarelocals.gov.au/internet/medicarelocals/publishing.nsf/Content/F87768335FD42232CA257B9100061226/$File/Medicare%20Locals%20-%20June%202012%20-%20list%20of%20SLAs%20and%20LGAs.xls" TargetMode="External" Id="R17751b65e9cc40ca" /><Relationship Type="http://schemas.openxmlformats.org/officeDocument/2006/relationships/hyperlink" Target="https://meteor.aihw.gov.au/content/577612" TargetMode="External" Id="R62936afda6a8451c" /><Relationship Type="http://schemas.openxmlformats.org/officeDocument/2006/relationships/hyperlink" Target="https://meteor.aihw.gov.au/RegistrationAuthority/8" TargetMode="External" Id="Rbbd61a4228704581" /><Relationship Type="http://schemas.openxmlformats.org/officeDocument/2006/relationships/hyperlink" Target="https://meteor.aihw.gov.au/content/583497" TargetMode="External" Id="R809ea0b5fde14f3f" /><Relationship Type="http://schemas.openxmlformats.org/officeDocument/2006/relationships/hyperlink" Target="https://meteor.aihw.gov.au/RegistrationAuthority/8" TargetMode="External" Id="R73839bbd061e4a18" /><Relationship Type="http://schemas.openxmlformats.org/officeDocument/2006/relationships/hyperlink" Target="https://meteor.aihw.gov.au/content/578021" TargetMode="External" Id="R785b8594e96e4674" /><Relationship Type="http://schemas.openxmlformats.org/officeDocument/2006/relationships/hyperlink" Target="https://meteor.aihw.gov.au/RegistrationAuthority/8" TargetMode="External" Id="R1980a797468a42cc" /><Relationship Type="http://schemas.openxmlformats.org/officeDocument/2006/relationships/hyperlink" Target="https://meteor.aihw.gov.au/content/583479" TargetMode="External" Id="R088b559d0eee4f7d" /><Relationship Type="http://schemas.openxmlformats.org/officeDocument/2006/relationships/hyperlink" Target="https://meteor.aihw.gov.au/RegistrationAuthority/8" TargetMode="External" Id="Raf96e87035dd486d" /><Relationship Type="http://schemas.openxmlformats.org/officeDocument/2006/relationships/hyperlink" Target="https://meteor.aihw.gov.au/content/583506" TargetMode="External" Id="Rff54106467c246db" /><Relationship Type="http://schemas.openxmlformats.org/officeDocument/2006/relationships/hyperlink" Target="https://meteor.aihw.gov.au/RegistrationAuthority/8" TargetMode="External" Id="Rdba7fc2fa2a84249" /><Relationship Type="http://schemas.openxmlformats.org/officeDocument/2006/relationships/hyperlink" Target="https://meteor.aihw.gov.au/content/577612" TargetMode="External" Id="Rc395ea107e304014" /><Relationship Type="http://schemas.openxmlformats.org/officeDocument/2006/relationships/hyperlink" Target="https://meteor.aihw.gov.au/RegistrationAuthority/8" TargetMode="External" Id="R599ab5a0168e4141" /><Relationship Type="http://schemas.openxmlformats.org/officeDocument/2006/relationships/hyperlink" Target="https://meteor.aihw.gov.au/content/583497" TargetMode="External" Id="R4743c683c93743f8" /><Relationship Type="http://schemas.openxmlformats.org/officeDocument/2006/relationships/hyperlink" Target="https://meteor.aihw.gov.au/RegistrationAuthority/8" TargetMode="External" Id="R44a3f64fe19040c6" /><Relationship Type="http://schemas.openxmlformats.org/officeDocument/2006/relationships/hyperlink" Target="https://meteor.aihw.gov.au/content/578021" TargetMode="External" Id="R5a63f5285b3a4e68" /><Relationship Type="http://schemas.openxmlformats.org/officeDocument/2006/relationships/hyperlink" Target="https://meteor.aihw.gov.au/RegistrationAuthority/8" TargetMode="External" Id="R1fd07235a1944937" /><Relationship Type="http://schemas.openxmlformats.org/officeDocument/2006/relationships/hyperlink" Target="https://meteor.aihw.gov.au/content/583479" TargetMode="External" Id="Raaf38babcf374f97" /><Relationship Type="http://schemas.openxmlformats.org/officeDocument/2006/relationships/hyperlink" Target="https://meteor.aihw.gov.au/RegistrationAuthority/8" TargetMode="External" Id="Rae058ac7800b428e" /><Relationship Type="http://schemas.openxmlformats.org/officeDocument/2006/relationships/hyperlink" Target="https://meteor.aihw.gov.au/content/583506" TargetMode="External" Id="R672232771b5844d9" /><Relationship Type="http://schemas.openxmlformats.org/officeDocument/2006/relationships/hyperlink" Target="https://meteor.aihw.gov.au/RegistrationAuthority/8" TargetMode="External" Id="R6c1f57c5b83740d5" /><Relationship Type="http://schemas.openxmlformats.org/officeDocument/2006/relationships/hyperlink" Target="https://meteor.aihw.gov.au/content/547176" TargetMode="External" Id="R8e5c00a8ec474a18" /><Relationship Type="http://schemas.openxmlformats.org/officeDocument/2006/relationships/hyperlink" Target="https://meteor.aihw.gov.au/RegistrationAuthority/8" TargetMode="External" Id="R753746d6977f47a2" /><Relationship Type="http://schemas.openxmlformats.org/officeDocument/2006/relationships/hyperlink" Target="https://meteor.aihw.gov.au/content/528911" TargetMode="External" Id="Rbc86019fc32a489a" /><Relationship Type="http://schemas.openxmlformats.org/officeDocument/2006/relationships/hyperlink" Target="https://meteor.aihw.gov.au/RegistrationAuthority/8" TargetMode="External" Id="R9ff460841b7a4210" /><Relationship Type="http://schemas.openxmlformats.org/officeDocument/2006/relationships/hyperlink" Target="https://meteor.aihw.gov.au/content/548008" TargetMode="External" Id="R6381ebec170940f7" /><Relationship Type="http://schemas.openxmlformats.org/officeDocument/2006/relationships/hyperlink" Target="https://meteor.aihw.gov.au/RegistrationAuthority/8" TargetMode="External" Id="R7ac291d36b5f49df" /><Relationship Type="http://schemas.openxmlformats.org/officeDocument/2006/relationships/hyperlink" Target="https://meteor.aihw.gov.au/content/601737" TargetMode="External" Id="R1afb3dba4c8643d0" /><Relationship Type="http://schemas.openxmlformats.org/officeDocument/2006/relationships/hyperlink" Target="https://meteor.aihw.gov.au/RegistrationAuthority/8" TargetMode="External" Id="R47d1ff48cd8d4e63" /><Relationship Type="http://schemas.openxmlformats.org/officeDocument/2006/relationships/hyperlink" Target="https://meteor.aihw.gov.au/content/548023" TargetMode="External" Id="R22badcab815840da" /><Relationship Type="http://schemas.openxmlformats.org/officeDocument/2006/relationships/hyperlink" Target="https://meteor.aihw.gov.au/RegistrationAuthority/8" TargetMode="External" Id="R4d430eff76404c8a" /><Relationship Type="http://schemas.openxmlformats.org/officeDocument/2006/relationships/hyperlink" Target="https://meteor.aihw.gov.au/content/601821" TargetMode="External" Id="Rf5df17f265724bae" /><Relationship Type="http://schemas.openxmlformats.org/officeDocument/2006/relationships/hyperlink" Target="https://meteor.aihw.gov.au/RegistrationAuthority/8" TargetMode="External" Id="R02a6720450194c6d" /><Relationship Type="http://schemas.openxmlformats.org/officeDocument/2006/relationships/hyperlink" Target="https://meteor.aihw.gov.au/content/548011" TargetMode="External" Id="R6c285677bced4ae2" /><Relationship Type="http://schemas.openxmlformats.org/officeDocument/2006/relationships/hyperlink" Target="https://meteor.aihw.gov.au/RegistrationAuthority/8" TargetMode="External" Id="Rd79208d2821f491e" /><Relationship Type="http://schemas.openxmlformats.org/officeDocument/2006/relationships/hyperlink" Target="https://meteor.aihw.gov.au/content/601815" TargetMode="External" Id="Rc4b112f0fd604816" /><Relationship Type="http://schemas.openxmlformats.org/officeDocument/2006/relationships/hyperlink" Target="https://meteor.aihw.gov.au/RegistrationAuthority/8" TargetMode="External" Id="R5b0778f4436140fd" /><Relationship Type="http://schemas.openxmlformats.org/officeDocument/2006/relationships/hyperlink" Target="https://meteor.aihw.gov.au/content/547196" TargetMode="External" Id="R69ae05fa211e442b" /><Relationship Type="http://schemas.openxmlformats.org/officeDocument/2006/relationships/hyperlink" Target="https://meteor.aihw.gov.au/RegistrationAuthority/8" TargetMode="External" Id="R1defedb5b39849aa" /><Relationship Type="http://schemas.openxmlformats.org/officeDocument/2006/relationships/hyperlink" Target="https://meteor.aihw.gov.au/content/547154" TargetMode="External" Id="R2a468a980eac4ea9" /><Relationship Type="http://schemas.openxmlformats.org/officeDocument/2006/relationships/hyperlink" Target="https://meteor.aihw.gov.au/RegistrationAuthority/8" TargetMode="External" Id="R93959f43d4ef4835" /><Relationship Type="http://schemas.openxmlformats.org/officeDocument/2006/relationships/hyperlink" Target="https://meteor.aihw.gov.au/content/547090" TargetMode="External" Id="Rfac5c0400d5b4699" /><Relationship Type="http://schemas.openxmlformats.org/officeDocument/2006/relationships/hyperlink" Target="https://meteor.aihw.gov.au/RegistrationAuthority/8" TargetMode="External" Id="Rff4573682ff84358" /><Relationship Type="http://schemas.openxmlformats.org/officeDocument/2006/relationships/hyperlink" Target="https://meteor.aihw.gov.au/content/547958" TargetMode="External" Id="Rd36ab0c57b004cdf" /><Relationship Type="http://schemas.openxmlformats.org/officeDocument/2006/relationships/hyperlink" Target="https://meteor.aihw.gov.au/RegistrationAuthority/8" TargetMode="External" Id="Rbca6f9fde28b4d07" /><Relationship Type="http://schemas.openxmlformats.org/officeDocument/2006/relationships/hyperlink" Target="https://meteor.aihw.gov.au/content/601534" TargetMode="External" Id="Rd492aed45ec94574" /><Relationship Type="http://schemas.openxmlformats.org/officeDocument/2006/relationships/hyperlink" Target="https://meteor.aihw.gov.au/RegistrationAuthority/8" TargetMode="External" Id="Rf695c745db0b41b4" /><Relationship Type="http://schemas.openxmlformats.org/officeDocument/2006/relationships/hyperlink" Target="https://meteor.aihw.gov.au/content/547145" TargetMode="External" Id="R498bdc170fd244d8" /><Relationship Type="http://schemas.openxmlformats.org/officeDocument/2006/relationships/hyperlink" Target="https://meteor.aihw.gov.au/RegistrationAuthority/8" TargetMode="External" Id="R5e86c93bfc0a4c70" /><Relationship Type="http://schemas.openxmlformats.org/officeDocument/2006/relationships/hyperlink" Target="https://meteor.aihw.gov.au/content/548002" TargetMode="External" Id="R665effe65c7b4528" /><Relationship Type="http://schemas.openxmlformats.org/officeDocument/2006/relationships/hyperlink" Target="https://meteor.aihw.gov.au/RegistrationAuthority/8" TargetMode="External" Id="R144f6ba3206640bf" /><Relationship Type="http://schemas.openxmlformats.org/officeDocument/2006/relationships/hyperlink" Target="https://meteor.aihw.gov.au/content/601895" TargetMode="External" Id="R86c5cb7c38304f9d" /><Relationship Type="http://schemas.openxmlformats.org/officeDocument/2006/relationships/hyperlink" Target="https://meteor.aihw.gov.au/RegistrationAuthority/8" TargetMode="External" Id="R025ef09ae6114f6c" /><Relationship Type="http://schemas.openxmlformats.org/officeDocument/2006/relationships/hyperlink" Target="https://meteor.aihw.gov.au/content/564385" TargetMode="External" Id="R31e40d58c2944a9b" /><Relationship Type="http://schemas.openxmlformats.org/officeDocument/2006/relationships/hyperlink" Target="https://meteor.aihw.gov.au/RegistrationAuthority/8" TargetMode="External" Id="R37adef3af25c4b10" /><Relationship Type="http://schemas.openxmlformats.org/officeDocument/2006/relationships/hyperlink" Target="https://meteor.aihw.gov.au/content/515538" TargetMode="External" Id="R8bf7c91bd8ac4153" /><Relationship Type="http://schemas.openxmlformats.org/officeDocument/2006/relationships/hyperlink" Target="https://meteor.aihw.gov.au/RegistrationAuthority/8" TargetMode="External" Id="Rfb89dbbcea6f4bd4" /><Relationship Type="http://schemas.openxmlformats.org/officeDocument/2006/relationships/hyperlink" Target="https://meteor.aihw.gov.au/content/564342" TargetMode="External" Id="R219814885e7d4439" /><Relationship Type="http://schemas.openxmlformats.org/officeDocument/2006/relationships/hyperlink" Target="https://meteor.aihw.gov.au/RegistrationAuthority/8" TargetMode="External" Id="R550b2c43811b4244" /><Relationship Type="http://schemas.openxmlformats.org/officeDocument/2006/relationships/hyperlink" Target="https://meteor.aihw.gov.au/content/527641" TargetMode="External" Id="Rca05073e5c714785" /><Relationship Type="http://schemas.openxmlformats.org/officeDocument/2006/relationships/hyperlink" Target="https://meteor.aihw.gov.au/RegistrationAuthority/8" TargetMode="External" Id="R8ecd1f6ea5184233" /><Relationship Type="http://schemas.openxmlformats.org/officeDocument/2006/relationships/hyperlink" Target="https://meteor.aihw.gov.au/content/594173" TargetMode="External" Id="R1a4e42cfab8d4337" /><Relationship Type="http://schemas.openxmlformats.org/officeDocument/2006/relationships/hyperlink" Target="https://meteor.aihw.gov.au/RegistrationAuthority/8" TargetMode="External" Id="Rd0417129bd58469f" /><Relationship Type="http://schemas.openxmlformats.org/officeDocument/2006/relationships/hyperlink" Target="https://meteor.aihw.gov.au/content/527720" TargetMode="External" Id="Rf775730b55a54238" /><Relationship Type="http://schemas.openxmlformats.org/officeDocument/2006/relationships/hyperlink" Target="https://meteor.aihw.gov.au/RegistrationAuthority/8" TargetMode="External" Id="Rcd7e9cfdf1c54af3" /><Relationship Type="http://schemas.openxmlformats.org/officeDocument/2006/relationships/hyperlink" Target="https://meteor.aihw.gov.au/content/529386" TargetMode="External" Id="R3e8e26465e5d448d" /><Relationship Type="http://schemas.openxmlformats.org/officeDocument/2006/relationships/hyperlink" Target="https://meteor.aihw.gov.au/RegistrationAuthority/8" TargetMode="External" Id="R5e32d8ab9aa34b63" /><Relationship Type="http://schemas.openxmlformats.org/officeDocument/2006/relationships/hyperlink" Target="https://meteor.aihw.gov.au/content/547997" TargetMode="External" Id="R12e3bb4705a84f15" /><Relationship Type="http://schemas.openxmlformats.org/officeDocument/2006/relationships/hyperlink" Target="https://meteor.aihw.gov.au/RegistrationAuthority/8" TargetMode="External" Id="R2d45b253ecf646f5" /><Relationship Type="http://schemas.openxmlformats.org/officeDocument/2006/relationships/hyperlink" Target="https://meteor.aihw.gov.au/content/594116" TargetMode="External" Id="R6f197e60c0074428" /><Relationship Type="http://schemas.openxmlformats.org/officeDocument/2006/relationships/hyperlink" Target="https://meteor.aihw.gov.au/RegistrationAuthority/8" TargetMode="External" Id="R36b2573adc864de0" /><Relationship Type="http://schemas.openxmlformats.org/officeDocument/2006/relationships/hyperlink" Target="https://meteor.aihw.gov.au/content/594772" TargetMode="External" Id="R7da780b0e7614b7c" /><Relationship Type="http://schemas.openxmlformats.org/officeDocument/2006/relationships/hyperlink" Target="https://meteor.aihw.gov.au/RegistrationAuthority/8" TargetMode="External" Id="R8e752557389242b3" /><Relationship Type="http://schemas.openxmlformats.org/officeDocument/2006/relationships/hyperlink" Target="https://meteor.aihw.gov.au/content/546854" TargetMode="External" Id="Ra4bdd9027d5b4072" /><Relationship Type="http://schemas.openxmlformats.org/officeDocument/2006/relationships/hyperlink" Target="https://meteor.aihw.gov.au/RegistrationAuthority/8" TargetMode="External" Id="Rb0841958d5f24e62" /><Relationship Type="http://schemas.openxmlformats.org/officeDocument/2006/relationships/hyperlink" Target="https://meteor.aihw.gov.au/content/601739" TargetMode="External" Id="Rdac978feb5f44e40" /><Relationship Type="http://schemas.openxmlformats.org/officeDocument/2006/relationships/hyperlink" Target="https://meteor.aihw.gov.au/RegistrationAuthority/8" TargetMode="External" Id="R0dbfa0e6f30c4441" /><Relationship Type="http://schemas.openxmlformats.org/officeDocument/2006/relationships/hyperlink" Target="https://meteor.aihw.gov.au/content/548005" TargetMode="External" Id="Raeffe7aeae5a42aa" /><Relationship Type="http://schemas.openxmlformats.org/officeDocument/2006/relationships/hyperlink" Target="https://meteor.aihw.gov.au/RegistrationAuthority/8" TargetMode="External" Id="R99eeb7f4daac4374" /><Relationship Type="http://schemas.openxmlformats.org/officeDocument/2006/relationships/hyperlink" Target="https://meteor.aihw.gov.au/content/601829" TargetMode="External" Id="Rdf89cd20bfcc4020" /><Relationship Type="http://schemas.openxmlformats.org/officeDocument/2006/relationships/hyperlink" Target="https://meteor.aihw.gov.au/RegistrationAuthority/8" TargetMode="External" Id="R054767d47a404b24" /><Relationship Type="http://schemas.openxmlformats.org/officeDocument/2006/relationships/hyperlink" Target="https://meteor.aihw.gov.au/content/547062" TargetMode="External" Id="Rbebc8481ea074691" /><Relationship Type="http://schemas.openxmlformats.org/officeDocument/2006/relationships/hyperlink" Target="https://meteor.aihw.gov.au/RegistrationAuthority/8" TargetMode="External" Id="Radaaf602d499478d" /><Relationship Type="http://schemas.openxmlformats.org/officeDocument/2006/relationships/hyperlink" Target="https://meteor.aihw.gov.au/content/547952" TargetMode="External" Id="R027e9e95c27c44d2" /><Relationship Type="http://schemas.openxmlformats.org/officeDocument/2006/relationships/hyperlink" Target="https://meteor.aihw.gov.au/RegistrationAuthority/8" TargetMode="External" Id="R0018a254d8aa4be4" /><Relationship Type="http://schemas.openxmlformats.org/officeDocument/2006/relationships/hyperlink" Target="https://meteor.aihw.gov.au/content/601536" TargetMode="External" Id="R4fd5714946374cdb" /><Relationship Type="http://schemas.openxmlformats.org/officeDocument/2006/relationships/hyperlink" Target="https://meteor.aihw.gov.au/RegistrationAuthority/8" TargetMode="External" Id="R59c93d8f63c74585" /><Relationship Type="http://schemas.openxmlformats.org/officeDocument/2006/relationships/hyperlink" Target="https://meteor.aihw.gov.au/content/594106" TargetMode="External" Id="Rd078514c9c5f471c" /><Relationship Type="http://schemas.openxmlformats.org/officeDocument/2006/relationships/hyperlink" Target="https://meteor.aihw.gov.au/RegistrationAuthority/8" TargetMode="External" Id="R07117b96470e4919" /><Relationship Type="http://schemas.openxmlformats.org/officeDocument/2006/relationships/hyperlink" Target="https://meteor.aihw.gov.au/content/601882" TargetMode="External" Id="R9e38ce6921ca4078" /><Relationship Type="http://schemas.openxmlformats.org/officeDocument/2006/relationships/hyperlink" Target="https://meteor.aihw.gov.au/RegistrationAuthority/8" TargetMode="External" Id="Rfd30ff323797400d" /><Relationship Type="http://schemas.openxmlformats.org/officeDocument/2006/relationships/hyperlink" Target="https://meteor.aihw.gov.au/content/594794" TargetMode="External" Id="Rb11083d4d81f487a" /><Relationship Type="http://schemas.openxmlformats.org/officeDocument/2006/relationships/hyperlink" Target="https://meteor.aihw.gov.au/RegistrationAuthority/8" TargetMode="External" Id="Ree16ca15a3174df7" /><Relationship Type="http://schemas.openxmlformats.org/officeDocument/2006/relationships/hyperlink" Target="https://meteor.aihw.gov.au/content/593785" TargetMode="External" Id="Raeea83a419fb4896" /><Relationship Type="http://schemas.openxmlformats.org/officeDocument/2006/relationships/hyperlink" Target="https://meteor.aihw.gov.au/RegistrationAuthority/8" TargetMode="External" Id="R8d4fa94e940c4158" /><Relationship Type="http://schemas.openxmlformats.org/officeDocument/2006/relationships/hyperlink" Target="https://meteor.aihw.gov.au/content/593796" TargetMode="External" Id="Ra85e5d5117334ccf" /><Relationship Type="http://schemas.openxmlformats.org/officeDocument/2006/relationships/hyperlink" Target="https://meteor.aihw.gov.au/RegistrationAuthority/8" TargetMode="External" Id="R37db290761724ba6" /><Relationship Type="http://schemas.openxmlformats.org/officeDocument/2006/relationships/hyperlink" Target="https://meteor.aihw.gov.au/content/593770" TargetMode="External" Id="R64fb003178db47bd" /><Relationship Type="http://schemas.openxmlformats.org/officeDocument/2006/relationships/hyperlink" Target="https://meteor.aihw.gov.au/RegistrationAuthority/8" TargetMode="External" Id="Rdeb35cc14c714340" /><Relationship Type="http://schemas.openxmlformats.org/officeDocument/2006/relationships/hyperlink" Target="https://meteor.aihw.gov.au/content/593798" TargetMode="External" Id="R0565e74655db4952" /><Relationship Type="http://schemas.openxmlformats.org/officeDocument/2006/relationships/hyperlink" Target="https://meteor.aihw.gov.au/RegistrationAuthority/8" TargetMode="External" Id="Rd044021531614282" /><Relationship Type="http://schemas.openxmlformats.org/officeDocument/2006/relationships/hyperlink" Target="https://meteor.aihw.gov.au/content/593787" TargetMode="External" Id="R8c6b0899c3884ae1" /><Relationship Type="http://schemas.openxmlformats.org/officeDocument/2006/relationships/hyperlink" Target="https://meteor.aihw.gov.au/RegistrationAuthority/8" TargetMode="External" Id="Rc0bf0a1e7a2d41bf" /><Relationship Type="http://schemas.openxmlformats.org/officeDocument/2006/relationships/hyperlink" Target="https://meteor.aihw.gov.au/content/595024" TargetMode="External" Id="Re80886d45a17464b" /><Relationship Type="http://schemas.openxmlformats.org/officeDocument/2006/relationships/hyperlink" Target="https://meteor.aihw.gov.au/RegistrationAuthority/8" TargetMode="External" Id="R7fa4de7bf10847bf" /><Relationship Type="http://schemas.openxmlformats.org/officeDocument/2006/relationships/hyperlink" Target="https://meteor.aihw.gov.au/content/594756" TargetMode="External" Id="R3a68e70af1f341c5" /><Relationship Type="http://schemas.openxmlformats.org/officeDocument/2006/relationships/hyperlink" Target="https://meteor.aihw.gov.au/RegistrationAuthority/8" TargetMode="External" Id="Rdc71f0368b5d462d" /><Relationship Type="http://schemas.openxmlformats.org/officeDocument/2006/relationships/hyperlink" Target="https://meteor.aihw.gov.au/content/593774" TargetMode="External" Id="Rece5a266cb174387" /><Relationship Type="http://schemas.openxmlformats.org/officeDocument/2006/relationships/hyperlink" Target="https://meteor.aihw.gov.au/RegistrationAuthority/8" TargetMode="External" Id="R9ef237f82ba743e9" /><Relationship Type="http://schemas.openxmlformats.org/officeDocument/2006/relationships/hyperlink" Target="https://meteor.aihw.gov.au/content/593803" TargetMode="External" Id="R863e7a675b0344ea" /><Relationship Type="http://schemas.openxmlformats.org/officeDocument/2006/relationships/hyperlink" Target="https://meteor.aihw.gov.au/RegistrationAuthority/8" TargetMode="External" Id="R708ce9fede1443e4" /><Relationship Type="http://schemas.openxmlformats.org/officeDocument/2006/relationships/hyperlink" Target="https://meteor.aihw.gov.au/content/593772" TargetMode="External" Id="R4737416c2b424312" /><Relationship Type="http://schemas.openxmlformats.org/officeDocument/2006/relationships/hyperlink" Target="https://meteor.aihw.gov.au/RegistrationAuthority/8" TargetMode="External" Id="Rcbd13d6ffa0d4f8e" /><Relationship Type="http://schemas.openxmlformats.org/officeDocument/2006/relationships/hyperlink" Target="https://meteor.aihw.gov.au/content/593789" TargetMode="External" Id="R299d6585273b4f20" /><Relationship Type="http://schemas.openxmlformats.org/officeDocument/2006/relationships/hyperlink" Target="https://meteor.aihw.gov.au/RegistrationAuthority/8" TargetMode="External" Id="Rb1a3689088fa4ede" /></Relationships>
</file>

<file path=word/_rels/header1.xml.rels>&#65279;<?xml version="1.0" encoding="utf-8"?><Relationships xmlns="http://schemas.openxmlformats.org/package/2006/relationships"><Relationship Type="http://schemas.openxmlformats.org/officeDocument/2006/relationships/image" Target="/media/image.png" Id="R388786d16c4b48eb" /></Relationships>
</file>