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603d9b5cf34f59" /></Relationships>
</file>

<file path=word/document.xml><?xml version="1.0" encoding="utf-8"?>
<w:document xmlns:r="http://schemas.openxmlformats.org/officeDocument/2006/relationships" xmlns:w="http://schemas.openxmlformats.org/wordprocessingml/2006/main">
  <w:body>
    <w:p>
      <w:pPr>
        <w:pStyle w:val="Title"/>
      </w:pPr>
      <w:r>
        <w:t>Juvenile Justice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36bc29f084655">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 file cluster contains demographic information on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client file contains demographic information on all young people under youth justice supervision in Australia. This information assists with analysing and describing the characteristics of young people under supervision. The person identifier within this file is used to link young people with their legal orders (in the order file cluster) and periods of detention (in the detention file cluster). The linkage between these files allows further analyses of young people under supervision, and the characteristics of their supervision periods.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f91d6f1cdc491e">
              <w:r>
                <w:rPr>
                  <w:rStyle w:val="Hyperlink"/>
                </w:rPr>
                <w:t xml:space="preserve">Juvenile Justice Client file cluster</w:t>
              </w:r>
            </w:hyperlink>
          </w:p>
          <w:p>
            <w:pPr>
              <w:spacing w:before="0" w:after="0"/>
            </w:pPr>
            <w:r>
              <w:rPr>
                <w:rStyle w:val="row-content"/>
                <w:color w:val="244061"/>
              </w:rPr>
              <w:t xml:space="preserve">       </w:t>
            </w:r>
            <w:hyperlink w:history="true" r:id="R680c9d9d6eac4b88">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779945fe70e440cb">
              <w:r>
                <w:rPr>
                  <w:rStyle w:val="Hyperlink"/>
                  <w:color w:val="244061"/>
                </w:rPr>
                <w:t xml:space="preserve">Youth Justice</w:t>
              </w:r>
            </w:hyperlink>
            <w:r>
              <w:rPr>
                <w:rStyle w:val="row-content"/>
                <w:color w:val="244061"/>
              </w:rPr>
              <w:t xml:space="preserve">, Superseded 24/03/2023</w:t>
            </w:r>
          </w:p>
          <w:p>
            <w:r>
              <w:br/>
            </w:r>
            <w:r>
              <w:rPr>
                <w:rStyle w:val="row-content"/>
              </w:rPr>
              <w:t xml:space="preserve">Has been superseded by </w:t>
            </w:r>
            <w:hyperlink w:history="true" r:id="Rb890c4691746429d">
              <w:r>
                <w:rPr>
                  <w:rStyle w:val="Hyperlink"/>
                </w:rPr>
                <w:t xml:space="preserve">Youth Justice Client file cluster</w:t>
              </w:r>
            </w:hyperlink>
          </w:p>
          <w:p>
            <w:pPr>
              <w:spacing w:before="0" w:after="0"/>
            </w:pPr>
            <w:r>
              <w:rPr>
                <w:rStyle w:val="row-content"/>
                <w:color w:val="244061"/>
              </w:rPr>
              <w:t xml:space="preserve">       </w:t>
            </w:r>
            <w:hyperlink w:history="true" r:id="R9dd49e88841f41a7">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1336d9e4564940">
              <w:r>
                <w:rPr>
                  <w:rStyle w:val="Hyperlink"/>
                </w:rPr>
                <w:t xml:space="preserve">Juvenile Justice NMDS 2015–16</w:t>
              </w:r>
            </w:hyperlink>
          </w:p>
          <w:p>
            <w:pPr>
              <w:spacing w:before="0" w:after="0"/>
            </w:pPr>
            <w:r>
              <w:rPr>
                <w:rStyle w:val="row-content"/>
                <w:color w:val="244061"/>
              </w:rPr>
              <w:t xml:space="preserve">       </w:t>
            </w:r>
            <w:hyperlink w:history="true" r:id="Rd4c8605457c14d47">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f981f546111475e">
              <w:r>
                <w:rPr>
                  <w:rStyle w:val="Hyperlink"/>
                </w:rPr>
                <w:t xml:space="preserve">Juvenile Justice NMDS 2016–18</w:t>
              </w:r>
            </w:hyperlink>
          </w:p>
          <w:p>
            <w:pPr>
              <w:spacing w:before="0" w:after="0"/>
            </w:pPr>
            <w:r>
              <w:rPr>
                <w:rStyle w:val="row-content"/>
                <w:color w:val="244061"/>
              </w:rPr>
              <w:t xml:space="preserve">       </w:t>
            </w:r>
            <w:hyperlink w:history="true" r:id="R18d5e4144b244307">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d149f081ab0470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1d32e6685fe410a">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cf3f9443ddd4d8f">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ae3e9a19c4948ed">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0f5f2f73e6f4d7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0dc2aba00a243b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8fbee2bd51b451c">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‘Contacts’ are those that would count as a supervised order (i.e. would be within scope for the JJ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a503909368d74ac7">
                    <w:r>
                      <w:rPr>
                        <w:rStyle w:val="Hyperlink"/>
                      </w:rPr>
                      <w:t xml:space="preserve">order start date</w:t>
                    </w:r>
                  </w:hyperlink>
                  <w:r>
                    <w:t xml:space="preserve"> in the JJ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f609ccc5a64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98d87592e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09ccc5a64417a" /><Relationship Type="http://schemas.openxmlformats.org/officeDocument/2006/relationships/header" Target="/word/header1.xml" Id="R2302fa70562c4c89" /><Relationship Type="http://schemas.openxmlformats.org/officeDocument/2006/relationships/settings" Target="/word/settings.xml" Id="Re7173e6027814998" /><Relationship Type="http://schemas.openxmlformats.org/officeDocument/2006/relationships/styles" Target="/word/styles.xml" Id="R9737ec9908e6499d" /><Relationship Type="http://schemas.openxmlformats.org/officeDocument/2006/relationships/hyperlink" Target="https://meteor.aihw.gov.au/RegistrationAuthority/4" TargetMode="External" Id="Ra8136bc29f084655" /><Relationship Type="http://schemas.openxmlformats.org/officeDocument/2006/relationships/hyperlink" Target="https://meteor.aihw.gov.au/content/386845" TargetMode="External" Id="R20f91d6f1cdc491e" /><Relationship Type="http://schemas.openxmlformats.org/officeDocument/2006/relationships/hyperlink" Target="https://meteor.aihw.gov.au/RegistrationAuthority/1" TargetMode="External" Id="R680c9d9d6eac4b88" /><Relationship Type="http://schemas.openxmlformats.org/officeDocument/2006/relationships/hyperlink" Target="https://meteor.aihw.gov.au/RegistrationAuthority/4" TargetMode="External" Id="R779945fe70e440cb" /><Relationship Type="http://schemas.openxmlformats.org/officeDocument/2006/relationships/hyperlink" Target="https://meteor.aihw.gov.au/content/755693" TargetMode="External" Id="Rb890c4691746429d" /><Relationship Type="http://schemas.openxmlformats.org/officeDocument/2006/relationships/hyperlink" Target="https://meteor.aihw.gov.au/RegistrationAuthority/4" TargetMode="External" Id="R9dd49e88841f41a7" /><Relationship Type="http://schemas.openxmlformats.org/officeDocument/2006/relationships/hyperlink" Target="https://meteor.aihw.gov.au/content/680159" TargetMode="External" Id="Rb61336d9e4564940" /><Relationship Type="http://schemas.openxmlformats.org/officeDocument/2006/relationships/hyperlink" Target="https://meteor.aihw.gov.au/RegistrationAuthority/4" TargetMode="External" Id="Rd4c8605457c14d47" /><Relationship Type="http://schemas.openxmlformats.org/officeDocument/2006/relationships/hyperlink" Target="https://meteor.aihw.gov.au/content/758594" TargetMode="External" Id="R7f981f546111475e" /><Relationship Type="http://schemas.openxmlformats.org/officeDocument/2006/relationships/hyperlink" Target="https://meteor.aihw.gov.au/RegistrationAuthority/4" TargetMode="External" Id="R18d5e4144b244307" /><Relationship Type="http://schemas.openxmlformats.org/officeDocument/2006/relationships/hyperlink" Target="https://meteor.aihw.gov.au/content/290046" TargetMode="External" Id="Rfd149f081ab04704" /><Relationship Type="http://schemas.openxmlformats.org/officeDocument/2006/relationships/hyperlink" Target="https://meteor.aihw.gov.au/content/349481" TargetMode="External" Id="Rd1d32e6685fe410a" /><Relationship Type="http://schemas.openxmlformats.org/officeDocument/2006/relationships/hyperlink" Target="https://meteor.aihw.gov.au/content/349483" TargetMode="External" Id="R5cf3f9443ddd4d8f" /><Relationship Type="http://schemas.openxmlformats.org/officeDocument/2006/relationships/hyperlink" Target="https://meteor.aihw.gov.au/content/287007" TargetMode="External" Id="R3ae3e9a19c4948ed" /><Relationship Type="http://schemas.openxmlformats.org/officeDocument/2006/relationships/hyperlink" Target="https://meteor.aihw.gov.au/content/287316" TargetMode="External" Id="R50f5f2f73e6f4d75" /><Relationship Type="http://schemas.openxmlformats.org/officeDocument/2006/relationships/hyperlink" Target="https://meteor.aihw.gov.au/content/602543" TargetMode="External" Id="Ra0dc2aba00a243b2" /><Relationship Type="http://schemas.openxmlformats.org/officeDocument/2006/relationships/hyperlink" Target="https://meteor.aihw.gov.au/content/692122" TargetMode="External" Id="R28fbee2bd51b451c" /><Relationship Type="http://schemas.openxmlformats.org/officeDocument/2006/relationships/hyperlink" Target="https://meteor.aihw.gov.au/content/536550" TargetMode="External" Id="Ra503909368d74ac7" /></Relationships>
</file>

<file path=word/_rels/header1.xml.rels>&#65279;<?xml version="1.0" encoding="utf-8"?><Relationships xmlns="http://schemas.openxmlformats.org/package/2006/relationships"><Relationship Type="http://schemas.openxmlformats.org/officeDocument/2006/relationships/image" Target="/media/image.png" Id="Rb8d98d87592e4f1a" /></Relationships>
</file>