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34c3bb3624407d"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af87e63d94830">
              <w:r>
                <w:rPr>
                  <w:rStyle w:val="Hyperlink"/>
                  <w:color w:val="244061"/>
                </w:rPr>
                <w:t xml:space="preserve">AIHW Data Quality Statements</w:t>
              </w:r>
            </w:hyperlink>
            <w:r>
              <w:rPr>
                <w:rStyle w:val="row-content"/>
                <w:color w:val="244061"/>
              </w:rPr>
              <w:t xml:space="preserve">, Standard 12/03/2013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Australian Institute of Health and Welfare (AIHW) child protection data collection contains information on: </w:t>
            </w:r>
          </w:p>
          <w:p>
            <w:pPr>
              <w:spacing w:after="160"/>
            </w:pPr>
            <w:r>
              <w:rPr>
                <w:rStyle w:val="row-content-rich-text"/>
              </w:rPr>
              <w:t xml:space="preserve">        – notifications, investigations and substantiations</w:t>
            </w:r>
          </w:p>
          <w:p>
            <w:pPr>
              <w:spacing w:after="160"/>
            </w:pPr>
            <w:r>
              <w:rPr>
                <w:rStyle w:val="row-content-rich-text"/>
              </w:rPr>
              <w:t xml:space="preserve">        – care and protection orders</w:t>
            </w:r>
          </w:p>
          <w:p>
            <w:pPr>
              <w:spacing w:after="160"/>
            </w:pPr>
            <w:r>
              <w:rPr>
                <w:rStyle w:val="row-content-rich-text"/>
              </w:rPr>
              <w:t xml:space="preserve">        – out-of-home care</w:t>
            </w:r>
          </w:p>
          <w:p>
            <w:pPr>
              <w:spacing w:after="160"/>
            </w:pPr>
            <w:r>
              <w:rPr>
                <w:rStyle w:val="row-content-rich-text"/>
              </w:rPr>
              <w:t xml:space="preserve">        – foster carers</w:t>
            </w:r>
          </w:p>
          <w:p>
            <w:pPr>
              <w:spacing w:after="160"/>
            </w:pPr>
            <w:r>
              <w:rPr>
                <w:rStyle w:val="row-content-rich-text"/>
              </w:rPr>
              <w:t xml:space="preserve">        – relative/kinship carers</w:t>
            </w:r>
          </w:p>
          <w:p>
            <w:pPr>
              <w:spacing w:after="160"/>
            </w:pPr>
            <w:r>
              <w:rPr>
                <w:rStyle w:val="row-content-rich-text"/>
              </w:rPr>
              <w:t xml:space="preserve">        – intensive family support services.</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Appendices D–H of </w:t>
            </w:r>
            <w:r>
              <w:rPr>
                <w:rStyle w:val="row-content-rich-text"/>
                <w:i/>
              </w:rPr>
              <w:t xml:space="preserve">Child Protection Australia 2011–12</w:t>
            </w:r>
            <w:r>
              <w:rPr>
                <w:rStyle w:val="row-content-rich-text"/>
              </w:rPr>
              <w:t xml:space="preserve">).  </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and in some jurisdictions there is a high proportion of children whose Indigenous status is unknown in relation to substantiated child abuse and neglect.</w:t>
            </w:r>
          </w:p>
          <w:p>
            <w:pPr>
              <w:pStyle w:val="ListParagraph"/>
              <w:numPr>
                <w:ilvl w:val="0"/>
                <w:numId w:val="3"/>
              </w:numPr>
            </w:pPr>
            <w:r>
              <w:rPr>
                <w:rStyle w:val="row-content-rich-text"/>
              </w:rPr>
              <w:t xml:space="preserve">The Australian Bureau of Statistics (ABS) has improved the methodology used to obtain estimates of the resident population, which has caused a downward revision of estimates based on the 2011 Census. Due to these changes, comparisons of rates over time should be interpreted with caution. </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provides assistance to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Assistance is provided to children and their families through the provision of, or referral to, a wide range of services.</w:t>
            </w:r>
          </w:p>
          <w:p>
            <w:pPr>
              <w:spacing w:after="160"/>
            </w:pPr>
            <w:r>
              <w:rPr>
                <w:rStyle w:val="row-content-rich-text"/>
              </w:rPr>
              <w:t xml:space="preserve">The data for this collection are collected from each of the eight state and territory departments responsible for child protection, and collated and analysed by the AIHW. The data are extracted from the administrative systems of the state and territory departments according to definitions and technical specifications agreed to by those departments and the AIHW. This data collection represents the only national source of child protection data.</w:t>
            </w:r>
          </w:p>
          <w:p>
            <w:pPr/>
            <w:r>
              <w:rPr>
                <w:rStyle w:val="row-content-rich-text"/>
              </w:rPr>
              <w:t xml:space="preserve">The collection is a part of the child welfare series. The agreement for ongoing funding of this series forms Schedule 3 of the National Community Services Information Infrastructure Agreement (NCSIIA). This agreement operates under the auspices of the Standing Council on Community and Disability Services Advisory Council (SCCDSAC), formerly the Community and Disability Services Ministerial Advisory Committee (CDSMAC).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&lt;</w:t>
            </w:r>
          </w:p>
          <w:p>
            <w:hyperlink w:history="true" r:id="Ra1b6ca16b6ee424d">
              <w:r>
                <w:rPr>
                  <w:rStyle w:val="Hyperlink"/>
                </w:rPr>
                <w:t xml:space="preserve">www.aihw.gov.au</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2011–12 child protection collection is from 1 July 2011 to 30 June 2012. Data relating to child protection investigations includes investigation outcomes recorded up until 31 August 2012,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2011–12 collection, the first iteration of data was due to the AIHW by 26 September 2012, and data were finalised for all states and territories in November 2012. Data from the 2011–12 child protection collection were published in March 2013.</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&lt;</w:t>
            </w:r>
            <w:hyperlink w:history="true" r:id="Rffa0dd9c0e914068">
              <w:r>
                <w:rPr>
                  <w:rStyle w:val="Hyperlink"/>
                </w:rPr>
                <w:t xml:space="preserve">www.aihw.gov.au/child-protection/</w:t>
              </w:r>
            </w:hyperlink>
            <w:r>
              <w:rPr>
                <w:rStyle w:val="row-content-rich-text"/>
              </w:rPr>
              <w:t xml:space="preserve">&gt;.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on (02) 6244 1000 or via email to </w:t>
            </w:r>
            <w:hyperlink w:history="true" r:id="Rab8e58de1da74fc3">
              <w:r>
                <w:rPr>
                  <w:rStyle w:val="Hyperlink"/>
                </w:rPr>
                <w:t xml:space="preserve">info@aihw.gov.au</w:t>
              </w:r>
            </w:hyperlink>
            <w:r>
              <w:rPr>
                <w:rStyle w:val="row-content-rich-text"/>
              </w:rPr>
              <w:t xml:space="preserve">. A cost-recovery charge may apply to requests that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Communications, Media and Marketing Unit on (02) 6244 1032 or via email to </w:t>
            </w:r>
            <w:hyperlink w:history="true" r:id="R6557fa49e0b34f9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in the appendixes 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presented by the AIHW. </w:t>
            </w:r>
          </w:p>
          <w:p>
            <w:pPr/>
            <w:r>
              <w:rPr>
                <w:rStyle w:val="row-content-rich-text"/>
              </w:rPr>
              <w:t xml:space="preserve">Metadata for the child protection collection is currently being updated for entry on to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three primary modules (notifications, investigations and substantiations; care and protection orders; and out-of-home care) include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w:t>
            </w:r>
          </w:p>
          <w:p>
            <w:pPr>
              <w:spacing w:after="160"/>
            </w:pPr>
            <w:r>
              <w:rPr>
                <w:rStyle w:val="row-content-rich-text"/>
              </w:rPr>
              <w:t xml:space="preserve">The collection also includes numbers of admissions to, and discharges from, care and protection orders and out-of-home care; and information on households providing foster and relative/kinship care placements.</w:t>
            </w:r>
          </w:p>
          <w:p>
            <w:pPr>
              <w:spacing w:after="160"/>
            </w:pPr>
            <w:r>
              <w:rPr>
                <w:rStyle w:val="row-content-rich-text"/>
              </w:rPr>
              <w:t xml:space="preserve">In addition to providing information on the current collection period, the collection also allows for some trends to be examined. As part of the ‘child welfare’ schedule under the National Community Services Information Infrastructure Agreement, the collection is a valuable source for monitoring various components of the child protection system. Overall, these data give a detailed view of statutory child protection in Australia.</w:t>
            </w:r>
          </w:p>
          <w:p>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and in the annual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data collections are extracted each year from the administrative systems of the state and territory departments responsible for child protection in Australia, according to definitions and technical specifications agreed to by the departments and the AIHW. Overall, the quality and coverage of data in the child protection data collection are good.</w:t>
            </w:r>
          </w:p>
          <w:p>
            <w:pPr>
              <w:spacing w:after="160"/>
            </w:pPr>
            <w:r>
              <w:rPr>
                <w:rStyle w:val="row-content-rich-text"/>
                <w:b/>
              </w:rPr>
              <w:t xml:space="preserve">Scope and coverage</w:t>
            </w:r>
          </w:p>
          <w:p>
            <w:pPr>
              <w:spacing w:after="160"/>
            </w:pPr>
            <w:r>
              <w:rPr>
                <w:rStyle w:val="row-content-rich-text"/>
              </w:rPr>
              <w:t xml:space="preserve">National child protection data are only based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only included if they were also referred to departments responsible for child protection.</w:t>
            </w:r>
          </w:p>
          <w:p>
            <w:pPr>
              <w:spacing w:after="160"/>
            </w:pPr>
            <w:r>
              <w:rPr>
                <w:rStyle w:val="row-content-rich-text"/>
              </w:rPr>
              <w:t xml:space="preserve">There are significant links and overlaps between the notifications, investigations and substantiations; care and protection orders; and out-of-home care data modules. For example, children who are the subject of substantiations may be placed on care and protection orders, and many children on care and protection orders are also in out-of-home care. However, very limited national data are available on the movement of children through the child protection system or the overlaps between the separate data modules. A unique count of children in the child protection system cannot be obtained using the current methodology.</w:t>
            </w:r>
          </w:p>
          <w:p>
            <w:pPr>
              <w:spacing w:after="160"/>
            </w:pPr>
            <w:r>
              <w:rPr>
                <w:rStyle w:val="row-content-rich-text"/>
              </w:rPr>
              <w:t xml:space="preserve">Each year a number of children are the subject of more than one notification and/or substantiation during the year. However, the current available aggregate data do not allow the calculation of the exact proportion of children who were the subject of more than one notification or substantiation in any given year.</w:t>
            </w:r>
          </w:p>
          <w:p>
            <w:pPr>
              <w:spacing w:after="160"/>
            </w:pPr>
            <w:r>
              <w:rPr>
                <w:rStyle w:val="row-content-rich-text"/>
              </w:rPr>
              <w:t xml:space="preserve">Work is being undertaken to broaden the scope of the national data collection and to improve comparability of data across jurisdictions—primarily through the development of a unit record (child level) data collection, which will replace the current aggregate collection from July 2013 (see Appendix J of </w:t>
            </w:r>
            <w:r>
              <w:rPr>
                <w:rStyle w:val="row-content-rich-text"/>
                <w:i/>
              </w:rPr>
              <w:t xml:space="preserve">Child Protection Australia 2011–12</w:t>
            </w:r>
            <w:r>
              <w:rPr>
                <w:rStyle w:val="row-content-rich-text"/>
              </w:rPr>
              <w:t xml:space="preserve"> for details). </w:t>
            </w:r>
          </w:p>
          <w:p>
            <w:pPr>
              <w:spacing w:after="160"/>
            </w:pPr>
            <w:r>
              <w:rPr>
                <w:rStyle w:val="row-content-rich-text"/>
                <w:b/>
              </w:rPr>
              <w:t xml:space="preserve">Data quality</w:t>
            </w:r>
          </w:p>
          <w:p>
            <w:pPr>
              <w:spacing w:after="160"/>
            </w:pPr>
            <w:r>
              <w:rPr>
                <w:rStyle w:val="row-content-rich-text"/>
              </w:rPr>
              <w:t xml:space="preserve">Overall, the quality and coverage of data in the child protection data collection are good. However, data availability affects the interpretability of some data presented:</w:t>
            </w:r>
          </w:p>
          <w:p>
            <w:pPr>
              <w:pStyle w:val="ListParagraph"/>
              <w:numPr>
                <w:ilvl w:val="0"/>
                <w:numId w:val="4"/>
              </w:numPr>
            </w:pPr>
            <w:r>
              <w:rPr>
                <w:rStyle w:val="row-content-rich-text"/>
              </w:rPr>
              <w:t xml:space="preserve">For data on </w:t>
            </w:r>
            <w:r>
              <w:rPr>
                <w:rStyle w:val="row-content-rich-text"/>
                <w:i/>
              </w:rPr>
              <w:t xml:space="preserve">substantiations of notifications received during 2011–12, by type of abuse or neglect</w:t>
            </w:r>
            <w:r>
              <w:rPr>
                <w:rStyle w:val="row-content-rich-text"/>
              </w:rPr>
              <w:t xml:space="preserve">, Victoria and South Australia report a large proportion of family types in the ‘not stated’ category (97% and 49%, respectively) and, as such, have not been included in the total. Data are also not available for New South Wales.</w:t>
            </w:r>
          </w:p>
          <w:p>
            <w:pPr>
              <w:pStyle w:val="ListParagraph"/>
              <w:numPr>
                <w:ilvl w:val="0"/>
                <w:numId w:val="4"/>
              </w:numPr>
            </w:pPr>
            <w:r>
              <w:rPr>
                <w:rStyle w:val="row-content-rich-text"/>
                <w:i/>
              </w:rPr>
              <w:t xml:space="preserve">Children aged 0–17 who were the subjects of substantiations of notifications received during 2011–12, by Indigenous status</w:t>
            </w:r>
            <w:r>
              <w:rPr>
                <w:rStyle w:val="row-content-rich-text"/>
              </w:rPr>
              <w:t xml:space="preserve"> should be interpreted with caution due to the high proportion of children whose Indigenous status was unknown in Western Australia, the Australian Capital Territory and Tasmania (34%, 20% and 17%, respectively).</w:t>
            </w:r>
          </w:p>
          <w:p>
            <w:pPr>
              <w:pStyle w:val="ListParagraph"/>
              <w:numPr>
                <w:ilvl w:val="0"/>
                <w:numId w:val="4"/>
              </w:numPr>
            </w:pPr>
            <w:r>
              <w:rPr>
                <w:rStyle w:val="row-content-rich-text"/>
              </w:rPr>
              <w:t xml:space="preserve">Care and protection orders issued, by type of order are not available for South Australia.</w:t>
            </w:r>
          </w:p>
          <w:p>
            <w:pPr>
              <w:pStyle w:val="ListParagraph"/>
              <w:numPr>
                <w:ilvl w:val="0"/>
                <w:numId w:val="4"/>
              </w:numPr>
            </w:pPr>
            <w:r>
              <w:rPr>
                <w:rStyle w:val="row-content-rich-text"/>
              </w:rPr>
              <w:t xml:space="preserve">Children substantiated in 2010–11 and subsequently placed on care and protection orders within 12 months are not available for New South Wales.</w:t>
            </w:r>
          </w:p>
          <w:p>
            <w:pPr>
              <w:pStyle w:val="ListParagraph"/>
              <w:numPr>
                <w:ilvl w:val="0"/>
                <w:numId w:val="4"/>
              </w:numPr>
            </w:pPr>
            <w:r>
              <w:rPr>
                <w:rStyle w:val="row-content-rich-text"/>
              </w:rPr>
              <w:t xml:space="preserve">Households exiting foster care are not available for New South Wales.</w:t>
            </w:r>
          </w:p>
          <w:p>
            <w:pPr>
              <w:pStyle w:val="ListParagraph"/>
              <w:numPr>
                <w:ilvl w:val="0"/>
                <w:numId w:val="4"/>
              </w:numPr>
            </w:pPr>
            <w:r>
              <w:rPr>
                <w:rStyle w:val="row-content-rich-text"/>
              </w:rPr>
              <w:t xml:space="preserve">Relative/kinship carer households with a placement at 30 June are not available for the Northern Territory.</w:t>
            </w:r>
          </w:p>
          <w:p>
            <w:pPr>
              <w:pStyle w:val="ListParagraph"/>
              <w:numPr>
                <w:ilvl w:val="0"/>
                <w:numId w:val="4"/>
              </w:numPr>
            </w:pPr>
            <w:r>
              <w:rPr>
                <w:rStyle w:val="row-content-rich-text"/>
              </w:rPr>
              <w:t xml:space="preserve">Relative/kinship carer households with a placement during the year are not available for Queensland and the Northern Territory.</w:t>
            </w:r>
          </w:p>
          <w:p>
            <w:pPr>
              <w:pStyle w:val="ListParagraph"/>
              <w:numPr>
                <w:ilvl w:val="0"/>
                <w:numId w:val="4"/>
              </w:numPr>
            </w:pPr>
            <w:r>
              <w:rPr>
                <w:rStyle w:val="row-content-rich-text"/>
              </w:rPr>
              <w:t xml:space="preserve">Households commencing relative/kinship care are not available for the Northern Territory.</w:t>
            </w:r>
          </w:p>
          <w:p>
            <w:pPr>
              <w:pStyle w:val="ListParagraph"/>
              <w:numPr>
                <w:ilvl w:val="0"/>
                <w:numId w:val="4"/>
              </w:numPr>
            </w:pPr>
            <w:r>
              <w:rPr>
                <w:rStyle w:val="row-content-rich-text"/>
              </w:rPr>
              <w:t xml:space="preserve">Households exiting relative/kinship care are not available for New South Wales and the Northern Territory.</w:t>
            </w:r>
          </w:p>
          <w:p>
            <w:pPr>
              <w:pStyle w:val="ListParagraph"/>
              <w:numPr>
                <w:ilvl w:val="0"/>
                <w:numId w:val="4"/>
              </w:numPr>
            </w:pPr>
            <w:r>
              <w:rPr>
                <w:rStyle w:val="row-content-rich-text"/>
              </w:rPr>
              <w:t xml:space="preserve">Number of children aged 0–17 commencing intensive family support services are not available for Tasmania and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has been provided to the AIHW since 1993 under the agreement between the Commonwealth,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Notifications, investigations and substantiations data for non-Indigenous children before 2009–10 included children of unknown Indigenous status. Following improvements to the data collection methodology in 2009–10, these children are able to separately identified and excluded from the non-Indigenous count. Therefore, there is a break in the time series for children in substantiations by Indigenous status between 2008–09 and 2009–10.</w:t>
            </w:r>
          </w:p>
          <w:p>
            <w:pPr/>
            <w:r>
              <w:rPr>
                <w:rStyle w:val="row-content-rich-text"/>
              </w:rPr>
              <w:t xml:space="preserve">The ABS has improved the methodology used to obtain estimates of the resident population, which has caused a downward revision of estimates based on the 2011 Census. Due to these changes, comparisons of rates over time should be interpreted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c21335b3a51742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838aa762a0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335b3a51742a5" /><Relationship Type="http://schemas.openxmlformats.org/officeDocument/2006/relationships/header" Target="/word/header1.xml" Id="Rd1d35558d7d54332" /><Relationship Type="http://schemas.openxmlformats.org/officeDocument/2006/relationships/settings" Target="/word/settings.xml" Id="Rcce30077b3de46d3" /><Relationship Type="http://schemas.openxmlformats.org/officeDocument/2006/relationships/styles" Target="/word/styles.xml" Id="R27fa20b9c86c458b" /><Relationship Type="http://schemas.openxmlformats.org/officeDocument/2006/relationships/hyperlink" Target="https://meteor.aihw.gov.au/RegistrationAuthority/5" TargetMode="External" Id="Rac0af87e63d94830" /><Relationship Type="http://schemas.openxmlformats.org/officeDocument/2006/relationships/numbering" Target="/word/numbering.xml" Id="Rb302a7558dde4ab0" /><Relationship Type="http://schemas.openxmlformats.org/officeDocument/2006/relationships/hyperlink" Target="http://www.aihw.gov.au" TargetMode="External" Id="Ra1b6ca16b6ee424d" /><Relationship Type="http://schemas.openxmlformats.org/officeDocument/2006/relationships/hyperlink" Target="http://www.aihw.gov.au/child-protection/" TargetMode="External" Id="Rffa0dd9c0e914068" /><Relationship Type="http://schemas.openxmlformats.org/officeDocument/2006/relationships/hyperlink" Target="mailto:info@aihw.gov.au" TargetMode="External" Id="Rab8e58de1da74fc3" /><Relationship Type="http://schemas.openxmlformats.org/officeDocument/2006/relationships/hyperlink" Target="mailto:info@aihw.gov.au" TargetMode="External" Id="R6557fa49e0b34f96" /></Relationships>
</file>

<file path=word/_rels/header1.xml.rels>&#65279;<?xml version="1.0" encoding="utf-8"?><Relationships xmlns="http://schemas.openxmlformats.org/package/2006/relationships"><Relationship Type="http://schemas.openxmlformats.org/officeDocument/2006/relationships/image" Target="/media/image.png" Id="Ra6838aa762a048d2" /></Relationships>
</file>