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2d3020f8241ba"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Offence Classification (ANZSOC), Third edition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Offence Classification (ANZSOC), Third edition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f3393c83483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standard offences.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ANZSOC is a classification with three levels: Divisions (the broadest level), Subdivisions (the intermediate level) and Groups (the finest level). At the divisional level, the main purpose is to provide a limited number of categories that provide a broad overall picture of offence types, that are suitable for the publication of summary tables in official statistics. The subdivision and group levels provide increasingly detailed dissections of these categories for the compilation of more specific and detailed statistics.</w:t>
            </w:r>
          </w:p>
          <w:p>
            <w:pPr>
              <w:spacing w:after="160"/>
            </w:pPr>
            <w:r>
              <w:rPr>
                <w:rStyle w:val="row-content-rich-text"/>
              </w:rPr>
              <w:t xml:space="preserve">The structure of the ANZSOC is illustrated below.</w:t>
            </w:r>
          </w:p>
          <w:p>
            <w:pPr>
              <w:spacing w:after="160"/>
            </w:pPr>
            <w:r>
              <w:rPr>
                <w:rStyle w:val="row-content-rich-text"/>
              </w:rPr>
              <w:t xml:space="preserve">Level Example</w:t>
            </w:r>
          </w:p>
          <w:p>
            <w:pPr>
              <w:spacing w:after="160"/>
            </w:pPr>
            <w:r>
              <w:rPr>
                <w:rStyle w:val="row-content-rich-text"/>
              </w:rPr>
              <w:t xml:space="preserve">Division 10 Illicit drug offences</w:t>
            </w:r>
          </w:p>
          <w:p>
            <w:pPr>
              <w:spacing w:after="160"/>
            </w:pPr>
            <w:r>
              <w:rPr>
                <w:rStyle w:val="row-content-rich-text"/>
              </w:rPr>
              <w:t xml:space="preserve">Subdivision 101 Import or export illicit drugs</w:t>
            </w:r>
          </w:p>
          <w:p>
            <w:pPr>
              <w:spacing w:after="160"/>
            </w:pPr>
            <w:r>
              <w:rPr>
                <w:rStyle w:val="row-content-rich-text"/>
              </w:rPr>
              <w:t xml:space="preserve">Group 1011 Import illicit drugs</w:t>
            </w:r>
          </w:p>
          <w:p>
            <w:pPr>
              <w:spacing w:after="160"/>
            </w:pPr>
            <w:r>
              <w:rPr>
                <w:rStyle w:val="row-content-rich-text"/>
              </w:rPr>
              <w:t xml:space="preserve">There are 16 divisions within the ASOC with codes numbered 01 to 16. The divisional structure for the third edition of ANZSOC is as follows:</w:t>
            </w:r>
          </w:p>
          <w:p>
            <w:pPr>
              <w:spacing w:after="160"/>
            </w:pPr>
            <w:r>
              <w:rPr>
                <w:rStyle w:val="row-content-rich-text"/>
              </w:rPr>
              <w:t xml:space="preserve">Division Title</w:t>
            </w:r>
          </w:p>
          <w:p>
            <w:pPr>
              <w:spacing w:after="160"/>
            </w:pPr>
            <w:r>
              <w:rPr>
                <w:rStyle w:val="row-content-rich-text"/>
              </w:rPr>
              <w:t xml:space="preserve">01 Homicide and related offences</w:t>
            </w:r>
          </w:p>
          <w:p>
            <w:pPr>
              <w:spacing w:after="160"/>
            </w:pPr>
            <w:r>
              <w:rPr>
                <w:rStyle w:val="row-content-rich-text"/>
              </w:rPr>
              <w:t xml:space="preserve">02 Acts intended to cause injury</w:t>
            </w:r>
          </w:p>
          <w:p>
            <w:pPr>
              <w:spacing w:after="160"/>
            </w:pPr>
            <w:r>
              <w:rPr>
                <w:rStyle w:val="row-content-rich-text"/>
              </w:rPr>
              <w:t xml:space="preserve">03 Sexual assault and related offences</w:t>
            </w:r>
          </w:p>
          <w:p>
            <w:pPr>
              <w:spacing w:after="160"/>
            </w:pPr>
            <w:r>
              <w:rPr>
                <w:rStyle w:val="row-content-rich-text"/>
              </w:rPr>
              <w:t xml:space="preserve">04 Dangerous or negligent acts endangering persons</w:t>
            </w:r>
          </w:p>
          <w:p>
            <w:pPr>
              <w:spacing w:after="160"/>
            </w:pPr>
            <w:r>
              <w:rPr>
                <w:rStyle w:val="row-content-rich-text"/>
              </w:rPr>
              <w:t xml:space="preserve">05 Abduction, harassment and other offences against the person</w:t>
            </w:r>
          </w:p>
          <w:p>
            <w:pPr>
              <w:spacing w:after="160"/>
            </w:pPr>
            <w:r>
              <w:rPr>
                <w:rStyle w:val="row-content-rich-text"/>
              </w:rPr>
              <w:t xml:space="preserve">06 Robbery, extortion and related offences</w:t>
            </w:r>
          </w:p>
          <w:p>
            <w:pPr>
              <w:spacing w:after="160"/>
            </w:pPr>
            <w:r>
              <w:rPr>
                <w:rStyle w:val="row-content-rich-text"/>
              </w:rPr>
              <w:t xml:space="preserve">07 Unlawful entry with intent/burglary, break and enter</w:t>
            </w:r>
          </w:p>
          <w:p>
            <w:pPr>
              <w:spacing w:after="160"/>
            </w:pPr>
            <w:r>
              <w:rPr>
                <w:rStyle w:val="row-content-rich-text"/>
              </w:rPr>
              <w:t xml:space="preserve">08 Theft and related offences</w:t>
            </w:r>
          </w:p>
          <w:p>
            <w:pPr>
              <w:spacing w:after="160"/>
            </w:pPr>
            <w:r>
              <w:rPr>
                <w:rStyle w:val="row-content-rich-text"/>
              </w:rPr>
              <w:t xml:space="preserve">09 Fraud, deception and related offences</w:t>
            </w:r>
          </w:p>
          <w:p>
            <w:pPr>
              <w:spacing w:after="160"/>
            </w:pPr>
            <w:r>
              <w:rPr>
                <w:rStyle w:val="row-content-rich-text"/>
              </w:rPr>
              <w:t xml:space="preserve">10 Illicit drug offences</w:t>
            </w:r>
          </w:p>
          <w:p>
            <w:pPr>
              <w:spacing w:after="160"/>
            </w:pPr>
            <w:r>
              <w:rPr>
                <w:rStyle w:val="row-content-rich-text"/>
              </w:rPr>
              <w:t xml:space="preserve">11 Prohibited and regulated weapons and explosives offences</w:t>
            </w:r>
          </w:p>
          <w:p>
            <w:pPr>
              <w:spacing w:after="160"/>
            </w:pPr>
            <w:r>
              <w:rPr>
                <w:rStyle w:val="row-content-rich-text"/>
              </w:rPr>
              <w:t xml:space="preserve">12 Property damage and environmental pollution</w:t>
            </w:r>
          </w:p>
          <w:p>
            <w:pPr>
              <w:spacing w:after="160"/>
            </w:pPr>
            <w:r>
              <w:rPr>
                <w:rStyle w:val="row-content-rich-text"/>
              </w:rPr>
              <w:t xml:space="preserve">13 Public order offences</w:t>
            </w:r>
          </w:p>
          <w:p>
            <w:pPr>
              <w:spacing w:after="160"/>
            </w:pPr>
            <w:r>
              <w:rPr>
                <w:rStyle w:val="row-content-rich-text"/>
              </w:rPr>
              <w:t xml:space="preserve">14 Traffic and vehicle regulatory offences</w:t>
            </w:r>
          </w:p>
          <w:p>
            <w:pPr>
              <w:spacing w:after="160"/>
            </w:pPr>
            <w:r>
              <w:rPr>
                <w:rStyle w:val="row-content-rich-text"/>
              </w:rPr>
              <w:t xml:space="preserve">15 Offences against government procedures, government security and government operations</w:t>
            </w:r>
          </w:p>
          <w:p>
            <w:pPr/>
            <w:r>
              <w:rPr>
                <w:rStyle w:val="row-content-rich-text"/>
              </w:rPr>
              <w:t xml:space="preserve">16 Miscellaneous offences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fe8f9b3ff74c4fcd">
              <w:r>
                <w:rPr>
                  <w:rStyle w:val="Hyperlink"/>
                </w:rPr>
                <w:t xml:space="preserve">Australian and New Zealand Standard Offence Classification (ANZSOC), Third Edition, Cat no. 1234.0</w:t>
              </w:r>
            </w:hyperlink>
            <w:r>
              <w:rPr>
                <w:rStyle w:val="row-content-rich-text"/>
              </w:rPr>
              <w:t xml:space="preserve"> Latest ISSUE Released at 11:30 AM (CANBERRA TIME) 02/06/2011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5bb8089d3194c2d">
              <w:r>
                <w:rPr>
                  <w:rStyle w:val="Hyperlink"/>
                </w:rPr>
                <w:t xml:space="preserve">Offence code (ANZSOC 2011) NN[NN]</w:t>
              </w:r>
            </w:hyperlink>
          </w:p>
          <w:p>
            <w:pPr>
              <w:spacing w:before="0" w:after="0"/>
            </w:pPr>
            <w:r>
              <w:rPr>
                <w:rStyle w:val="row-content"/>
                <w:color w:val="244061"/>
              </w:rPr>
              <w:t xml:space="preserve">       </w:t>
            </w:r>
            <w:hyperlink w:history="true" r:id="R8d3904d66a594778">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f930e222633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07f85d3a5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30e2226334d29" /><Relationship Type="http://schemas.openxmlformats.org/officeDocument/2006/relationships/header" Target="/word/header1.xml" Id="R382aa7df9dce425b" /><Relationship Type="http://schemas.openxmlformats.org/officeDocument/2006/relationships/settings" Target="/word/settings.xml" Id="Ra97f74117622457b" /><Relationship Type="http://schemas.openxmlformats.org/officeDocument/2006/relationships/styles" Target="/word/styles.xml" Id="R451cc586db3b4409" /><Relationship Type="http://schemas.openxmlformats.org/officeDocument/2006/relationships/hyperlink" Target="https://meteor.aihw.gov.au/RegistrationAuthority/4" TargetMode="External" Id="Re575f3393c834837" /><Relationship Type="http://schemas.openxmlformats.org/officeDocument/2006/relationships/hyperlink" Target="http://www.ausstats.abs.gov.au/ausstats/subscriber.nsf/0/5CE97E870F7A29EDCA2578A200143125/$File/12340_2011.pdf" TargetMode="External" Id="Rfe8f9b3ff74c4fcd" /><Relationship Type="http://schemas.openxmlformats.org/officeDocument/2006/relationships/hyperlink" Target="https://meteor.aihw.gov.au/content/512460" TargetMode="External" Id="Rd5bb8089d3194c2d" /><Relationship Type="http://schemas.openxmlformats.org/officeDocument/2006/relationships/hyperlink" Target="https://meteor.aihw.gov.au/RegistrationAuthority/4" TargetMode="External" Id="R8d3904d66a594778" /></Relationships>
</file>

<file path=word/_rels/header1.xml.rels>&#65279;<?xml version="1.0" encoding="utf-8"?><Relationships xmlns="http://schemas.openxmlformats.org/package/2006/relationships"><Relationship Type="http://schemas.openxmlformats.org/officeDocument/2006/relationships/image" Target="/media/image.png" Id="R58807f85d3a5467e" /></Relationships>
</file>