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5cdb912e104cde" /></Relationships>
</file>

<file path=word/document.xml><?xml version="1.0" encoding="utf-8"?>
<w:document xmlns:r="http://schemas.openxmlformats.org/officeDocument/2006/relationships" xmlns:w="http://schemas.openxmlformats.org/wordprocessingml/2006/main">
  <w:body>
    <w:p>
      <w:pPr>
        <w:pStyle w:val="Title"/>
      </w:pPr>
      <w:r>
        <w:t>Juvenile Justice Charge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Charge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6f6b583084425">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cluster contains data elements relating to young people charged with an offence who are on unsentenced supervised 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contains the Australian and New Zealand Standard Offence Classification (ANZSOC) code of all charges relating to unsentenced supervised orders (e.g. supervised bail, remand).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58d7352dd84b50">
              <w:r>
                <w:rPr>
                  <w:rStyle w:val="Hyperlink"/>
                </w:rPr>
                <w:t xml:space="preserve">Youth Justice Charge file cluster</w:t>
              </w:r>
            </w:hyperlink>
          </w:p>
          <w:p>
            <w:pPr>
              <w:spacing w:before="0" w:after="0"/>
            </w:pPr>
            <w:r>
              <w:rPr>
                <w:rStyle w:val="row-content"/>
                <w:color w:val="244061"/>
              </w:rPr>
              <w:t xml:space="preserve">       </w:t>
            </w:r>
            <w:hyperlink w:history="true" r:id="R7a79843a0fc94300">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bb607508a44ed5">
              <w:r>
                <w:rPr>
                  <w:rStyle w:val="Hyperlink"/>
                </w:rPr>
                <w:t xml:space="preserve">Juvenile Justice DSS 2011–12</w:t>
              </w:r>
            </w:hyperlink>
          </w:p>
          <w:p>
            <w:pPr>
              <w:spacing w:before="0" w:after="0"/>
            </w:pPr>
            <w:r>
              <w:rPr>
                <w:rStyle w:val="row-content"/>
                <w:color w:val="244061"/>
              </w:rPr>
              <w:t xml:space="preserve">       </w:t>
            </w:r>
            <w:hyperlink w:history="true" r:id="Ra4866a544ab848ea">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f8819e32f884c86">
              <w:r>
                <w:rPr>
                  <w:rStyle w:val="Hyperlink"/>
                </w:rPr>
                <w:t xml:space="preserve">Juvenile Justice DSS 2012–15</w:t>
              </w:r>
            </w:hyperlink>
          </w:p>
          <w:p>
            <w:pPr>
              <w:spacing w:before="0" w:after="0"/>
            </w:pPr>
            <w:r>
              <w:rPr>
                <w:rStyle w:val="row-content"/>
                <w:color w:val="244061"/>
              </w:rPr>
              <w:t xml:space="preserve">       </w:t>
            </w:r>
            <w:hyperlink w:history="true" r:id="R68868f551b2142c3">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30/06/2015</w:t>
            </w:r>
            <w:r>
              <w:br/>
            </w:r>
            <w:r>
              <w:br/>
            </w:r>
            <w:hyperlink w:history="true" r:id="Rb5ed1caf37fd460f">
              <w:r>
                <w:rPr>
                  <w:rStyle w:val="Hyperlink"/>
                </w:rPr>
                <w:t xml:space="preserve">Juvenile Justice DSS 2015–16</w:t>
              </w:r>
            </w:hyperlink>
          </w:p>
          <w:p>
            <w:pPr>
              <w:spacing w:before="0" w:after="0"/>
            </w:pPr>
            <w:r>
              <w:rPr>
                <w:rStyle w:val="row-content"/>
                <w:color w:val="244061"/>
              </w:rPr>
              <w:t xml:space="preserve">       </w:t>
            </w:r>
            <w:hyperlink w:history="true" r:id="Rf4629a30fdd946eb">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is an optional file</w:t>
            </w:r>
          </w:p>
          <w:p>
            <w:r>
              <w:br/>
            </w:r>
            <w:r>
              <w:br/>
            </w:r>
            <w:hyperlink w:history="true" r:id="R6da0486b7b78493e">
              <w:r>
                <w:rPr>
                  <w:rStyle w:val="Hyperlink"/>
                </w:rPr>
                <w:t xml:space="preserve">Juvenile Justice DSS 2016–18</w:t>
              </w:r>
            </w:hyperlink>
          </w:p>
          <w:p>
            <w:pPr>
              <w:spacing w:before="0" w:after="0"/>
            </w:pPr>
            <w:r>
              <w:rPr>
                <w:rStyle w:val="row-content"/>
                <w:color w:val="244061"/>
              </w:rPr>
              <w:t xml:space="preserve">       </w:t>
            </w:r>
            <w:hyperlink w:history="true" r:id="R4b1ab17eb0cd4451">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is an optional file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782b53182b4cc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f4e3b65c5fb4b56">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5c3a152b7b342ae">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d858f197731423b">
                    <w:r>
                      <w:rPr>
                        <w:rStyle w:val="Hyperlink"/>
                      </w:rPr>
                      <w:t xml:space="preserve">Order—order identifier, X[X(49)]</w:t>
                    </w:r>
                  </w:hyperlink>
                </w:p>
                <w:p>
                  <w:r>
                    <w:rPr>
                      <w:b/>
                      <w:i/>
                      <w:color w:val="333333"/>
                    </w:rPr>
                    <w:t xml:space="preserve">DSS specific information:</w:t>
                  </w:r>
                </w:p>
                <w:p>
                  <w:r>
                    <w:t xml:space="preserve">For the purposes of the JJ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d034e2e90304306">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f7bfd452dcf4aa7">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19645416bce24cbc">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0f5a99ecbc540be">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6c84927a0bf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512241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fb51469ed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84927a0bf4a88" /><Relationship Type="http://schemas.openxmlformats.org/officeDocument/2006/relationships/header" Target="/word/header1.xml" Id="R0691d53e0f7c467e" /><Relationship Type="http://schemas.openxmlformats.org/officeDocument/2006/relationships/settings" Target="/word/settings.xml" Id="R85b96914b2b7484d" /><Relationship Type="http://schemas.openxmlformats.org/officeDocument/2006/relationships/styles" Target="/word/styles.xml" Id="Rd6e3cf154bea486b" /><Relationship Type="http://schemas.openxmlformats.org/officeDocument/2006/relationships/hyperlink" Target="https://meteor.aihw.gov.au/RegistrationAuthority/4" TargetMode="External" Id="R5706f6b583084425" /><Relationship Type="http://schemas.openxmlformats.org/officeDocument/2006/relationships/hyperlink" Target="https://meteor.aihw.gov.au/content/758098" TargetMode="External" Id="R7358d7352dd84b50" /><Relationship Type="http://schemas.openxmlformats.org/officeDocument/2006/relationships/hyperlink" Target="https://meteor.aihw.gov.au/RegistrationAuthority/4" TargetMode="External" Id="R7a79843a0fc94300" /><Relationship Type="http://schemas.openxmlformats.org/officeDocument/2006/relationships/hyperlink" Target="https://meteor.aihw.gov.au/content/470073" TargetMode="External" Id="R5cbb607508a44ed5" /><Relationship Type="http://schemas.openxmlformats.org/officeDocument/2006/relationships/hyperlink" Target="https://meteor.aihw.gov.au/RegistrationAuthority/4" TargetMode="External" Id="Ra4866a544ab848ea" /><Relationship Type="http://schemas.openxmlformats.org/officeDocument/2006/relationships/hyperlink" Target="https://meteor.aihw.gov.au/content/467982" TargetMode="External" Id="Rff8819e32f884c86" /><Relationship Type="http://schemas.openxmlformats.org/officeDocument/2006/relationships/hyperlink" Target="https://meteor.aihw.gov.au/RegistrationAuthority/4" TargetMode="External" Id="R68868f551b2142c3" /><Relationship Type="http://schemas.openxmlformats.org/officeDocument/2006/relationships/hyperlink" Target="https://meteor.aihw.gov.au/content/758590" TargetMode="External" Id="Rb5ed1caf37fd460f" /><Relationship Type="http://schemas.openxmlformats.org/officeDocument/2006/relationships/hyperlink" Target="https://meteor.aihw.gov.au/RegistrationAuthority/4" TargetMode="External" Id="Rf4629a30fdd946eb" /><Relationship Type="http://schemas.openxmlformats.org/officeDocument/2006/relationships/hyperlink" Target="https://meteor.aihw.gov.au/content/676794" TargetMode="External" Id="R6da0486b7b78493e" /><Relationship Type="http://schemas.openxmlformats.org/officeDocument/2006/relationships/hyperlink" Target="https://meteor.aihw.gov.au/RegistrationAuthority/4" TargetMode="External" Id="R4b1ab17eb0cd4451" /><Relationship Type="http://schemas.openxmlformats.org/officeDocument/2006/relationships/hyperlink" Target="https://meteor.aihw.gov.au/content/290046" TargetMode="External" Id="Re3782b53182b4cc3" /><Relationship Type="http://schemas.openxmlformats.org/officeDocument/2006/relationships/hyperlink" Target="https://meteor.aihw.gov.au/content/512505" TargetMode="External" Id="R4f4e3b65c5fb4b56" /><Relationship Type="http://schemas.openxmlformats.org/officeDocument/2006/relationships/hyperlink" Target="https://meteor.aihw.gov.au/content/512465" TargetMode="External" Id="R15c3a152b7b342ae" /><Relationship Type="http://schemas.openxmlformats.org/officeDocument/2006/relationships/hyperlink" Target="https://meteor.aihw.gov.au/content/539609" TargetMode="External" Id="Rdd858f197731423b" /><Relationship Type="http://schemas.openxmlformats.org/officeDocument/2006/relationships/hyperlink" Target="https://meteor.aihw.gov.au/content/512520" TargetMode="External" Id="Rbd034e2e90304306" /><Relationship Type="http://schemas.openxmlformats.org/officeDocument/2006/relationships/hyperlink" Target="https://meteor.aihw.gov.au/content/429889" TargetMode="External" Id="R8f7bfd452dcf4aa7" /><Relationship Type="http://schemas.openxmlformats.org/officeDocument/2006/relationships/hyperlink" Target="https://auspost.com.au/business/marketing-and-communications/access-data-and-insights/address-data/postcode-data" TargetMode="External" Id="R19645416bce24cbc" /><Relationship Type="http://schemas.openxmlformats.org/officeDocument/2006/relationships/hyperlink" Target="https://meteor.aihw.gov.au/content/512437" TargetMode="External" Id="R20f5a99ecbc540be" /></Relationships>
</file>

<file path=word/_rels/header1.xml.rels>&#65279;<?xml version="1.0" encoding="utf-8"?><Relationships xmlns="http://schemas.openxmlformats.org/package/2006/relationships"><Relationship Type="http://schemas.openxmlformats.org/officeDocument/2006/relationships/image" Target="/media/image.png" Id="R7c9fb51469ed4c4e" /></Relationships>
</file>