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07bd0865a949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3c6a16a614ce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2011-12 data used for this indicator became available from 23 November 2012.</w:t>
            </w:r>
          </w:p>
          <w:p>
            <w:pPr>
              <w:spacing w:after="160"/>
            </w:pPr>
            <w:r>
              <w:rPr>
                <w:rStyle w:val="row-content-rich-text"/>
              </w:rPr>
              <w:t xml:space="preserve">Referenced Period: July 2011 to June 2012.</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Data for this indicator is shown by age, sex, Socio-Economic Indexes for Areas (SEIFA) and remoteness. Jurisdictional data is not currently publically available but may be made available 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2011-12</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2011-12</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and by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is available by the 2006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inclusion of very remote areas will serve to improve the coverage of the estimates, particularly for the Northern Territory. Small differences evident in the Northern Territory (NT) estimates between 2010-11 and 2011-12 may in part be due to the inclusion of households in very remote areas.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w:t>
            </w:r>
          </w:p>
          <w:p>
            <w:pPr>
              <w:spacing w:after="160"/>
            </w:pPr>
            <w:r>
              <w:rPr>
                <w:rStyle w:val="row-content-rich-text"/>
              </w:rPr>
              <w:t xml:space="preserve">50 per cent are considered too unreliable for general use.</w:t>
            </w:r>
          </w:p>
          <w:p>
            <w:pPr/>
            <w:r>
              <w:rPr>
                <w:rStyle w:val="row-content-rich-text"/>
              </w:rPr>
              <w:t xml:space="preserve">Data was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Australian population, and was adjusted to account for confidentiality, non-response and partial response.</w:t>
            </w:r>
          </w:p>
          <w:p>
            <w:pPr>
              <w:spacing w:after="160"/>
            </w:pPr>
            <w:r>
              <w:rPr>
                <w:rStyle w:val="row-content-rich-text"/>
              </w:rPr>
              <w:t xml:space="preserve">Sample/Collection size: The sample for the 2011-12 patient experience data was 26,437 fully-responding households.</w:t>
            </w:r>
          </w:p>
          <w:p>
            <w:pPr>
              <w:spacing w:after="160"/>
            </w:pPr>
            <w:r>
              <w:rPr>
                <w:rStyle w:val="row-content-rich-text"/>
              </w:rPr>
              <w:t xml:space="preserve">Response rate: Response rate for the survey was 79.6 per cent.</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The data for this indicator is attitudinal, as it collects whether people felt they waited too long to get an appointment with a general practitioner (GP) or specialist, and whether the person felt the health professional in question spent enough time with them, listened carefully and showed them respect (the ‘patient satisfaction’ questions).</w:t>
            </w:r>
          </w:p>
          <w:p>
            <w:pPr>
              <w:spacing w:after="160"/>
            </w:pPr>
            <w:r>
              <w:rPr>
                <w:rStyle w:val="row-content-rich-text"/>
              </w:rPr>
              <w:t xml:space="preserve">Data is used from personal interviews only (i.e. excluding proxy interviews).</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waiting times for GPs were asked in a different section of the questionnaire in the 2011-12 survey from where they were asked in 2010-11. This change in question ordering may impact on a person’s response.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b421df853e4949">
              <w:r>
                <w:rPr>
                  <w:rStyle w:val="Hyperlink"/>
                </w:rPr>
                <w:t xml:space="preserve">National Healthcare Agreement: PI 58-Patient experience/satisfaction, 2012 QS</w:t>
              </w:r>
            </w:hyperlink>
          </w:p>
          <w:p>
            <w:pPr>
              <w:spacing w:before="0" w:after="0"/>
            </w:pPr>
            <w:r>
              <w:rPr>
                <w:rStyle w:val="row-content"/>
                <w:color w:val="244061"/>
              </w:rPr>
              <w:t xml:space="preserve">       </w:t>
            </w:r>
            <w:hyperlink w:history="true" r:id="R985ef658d69645f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a180f45208748db">
              <w:r>
                <w:rPr>
                  <w:rStyle w:val="Hyperlink"/>
                </w:rPr>
                <w:t xml:space="preserve">National Healthcare Agreement: PI 32-Patient satisfaction/experience (Patient Experience Survey), 2014 QS</w:t>
              </w:r>
            </w:hyperlink>
          </w:p>
          <w:p>
            <w:pPr>
              <w:spacing w:before="0" w:after="0"/>
            </w:pPr>
            <w:r>
              <w:rPr>
                <w:rStyle w:val="row-content"/>
                <w:color w:val="244061"/>
              </w:rPr>
              <w:t xml:space="preserve">       </w:t>
            </w:r>
            <w:hyperlink w:history="true" r:id="Rb9074d0f3f904fd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694fd83bd44710">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1678c07ac0544c7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b80d3828649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e93201616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0d38286494660" /><Relationship Type="http://schemas.openxmlformats.org/officeDocument/2006/relationships/header" Target="/word/header1.xml" Id="R1835be7bde3a4405" /><Relationship Type="http://schemas.openxmlformats.org/officeDocument/2006/relationships/settings" Target="/word/settings.xml" Id="R81e59927408c4ca8" /><Relationship Type="http://schemas.openxmlformats.org/officeDocument/2006/relationships/styles" Target="/word/styles.xml" Id="R628af0427de94d02" /><Relationship Type="http://schemas.openxmlformats.org/officeDocument/2006/relationships/hyperlink" Target="https://meteor.aihw.gov.au/RegistrationAuthority/12" TargetMode="External" Id="R6453c6a16a614ce4" /><Relationship Type="http://schemas.openxmlformats.org/officeDocument/2006/relationships/numbering" Target="/word/numbering.xml" Id="R5d745f8c42a340e8" /><Relationship Type="http://schemas.openxmlformats.org/officeDocument/2006/relationships/hyperlink" Target="https://meteor.aihw.gov.au/content/500080" TargetMode="External" Id="R1db421df853e4949" /><Relationship Type="http://schemas.openxmlformats.org/officeDocument/2006/relationships/hyperlink" Target="https://meteor.aihw.gov.au/RegistrationAuthority/12" TargetMode="External" Id="R985ef658d69645f9" /><Relationship Type="http://schemas.openxmlformats.org/officeDocument/2006/relationships/hyperlink" Target="https://meteor.aihw.gov.au/content/517708" TargetMode="External" Id="R5a180f45208748db" /><Relationship Type="http://schemas.openxmlformats.org/officeDocument/2006/relationships/hyperlink" Target="https://meteor.aihw.gov.au/RegistrationAuthority/12" TargetMode="External" Id="Rb9074d0f3f904fd6" /><Relationship Type="http://schemas.openxmlformats.org/officeDocument/2006/relationships/hyperlink" Target="https://meteor.aihw.gov.au/content/496816" TargetMode="External" Id="Rc8694fd83bd44710" /><Relationship Type="http://schemas.openxmlformats.org/officeDocument/2006/relationships/hyperlink" Target="https://meteor.aihw.gov.au/RegistrationAuthority/12" TargetMode="External" Id="R1678c07ac0544c70" /></Relationships>
</file>

<file path=word/_rels/header1.xml.rels>&#65279;<?xml version="1.0" encoding="utf-8"?><Relationships xmlns="http://schemas.openxmlformats.org/package/2006/relationships"><Relationship Type="http://schemas.openxmlformats.org/officeDocument/2006/relationships/image" Target="/media/image.png" Id="R8e4e932016164098" /></Relationships>
</file>