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a6e614e38f4b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8b4e59961421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Data for this indicator is shown by age, sex, Socio-Economic Indexes for Areas (SEIFA) and remoteness. Jurisdictional data is not currently publically available but may be made available 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 Small differences evident in the Northern Territory (NT) estimates between 2010-11 and 2011-12 may in part be due to the inclusion of households in very remote areas.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w:t>
            </w:r>
          </w:p>
          <w:p>
            <w:pPr>
              <w:spacing w:after="160"/>
            </w:pPr>
            <w:r>
              <w:rPr>
                <w:rStyle w:val="row-content-rich-text"/>
              </w:rPr>
              <w:t xml:space="preserve">50 per cent are considered too unreliable for general use.</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The data for this indicator is attitudinal, as it collects whether people felt they waited too long to get an appointment with a general practitioner (GP) or specialist,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waiting times for GPs were asked in a different section of the questionnaire in the 2011-12 survey from where they were asked in 2010-11. This change in question ordering may impact on a person’s response.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0ccb4cd9a4df4">
              <w:r>
                <w:rPr>
                  <w:rStyle w:val="Hyperlink"/>
                </w:rPr>
                <w:t xml:space="preserve">National Healthcare Agreement: PI 58-Patient experience/satisfaction, 2012 QS</w:t>
              </w:r>
            </w:hyperlink>
          </w:p>
          <w:p>
            <w:pPr>
              <w:pStyle w:val="registration-status"/>
              <w:spacing w:before="0" w:after="0"/>
            </w:pPr>
            <w:hyperlink w:history="true" r:id="Rcccaa86e2ef041c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2b7ff80a2fc4a8d">
              <w:r>
                <w:rPr>
                  <w:rStyle w:val="Hyperlink"/>
                </w:rPr>
                <w:t xml:space="preserve">National Healthcare Agreement: PI 32-Patient satisfaction/experience (Patient Experience Survey), 2014 QS</w:t>
              </w:r>
            </w:hyperlink>
          </w:p>
          <w:p>
            <w:pPr>
              <w:pStyle w:val="registration-status"/>
              <w:spacing w:before="0" w:after="0"/>
            </w:pPr>
            <w:hyperlink w:history="true" r:id="Rf05eb646ed3e458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c724e4136454de5">
              <w:r>
                <w:rPr>
                  <w:rStyle w:val="Hyperlink"/>
                </w:rPr>
                <w:t xml:space="preserve">National Healthcare Agreement: PI 32-Patient satisfaction/experience, 2013</w:t>
              </w:r>
            </w:hyperlink>
          </w:p>
          <w:p>
            <w:pPr>
              <w:pStyle w:val="registration-status"/>
              <w:spacing w:before="0" w:after="0"/>
            </w:pPr>
            <w:hyperlink w:history="true" r:id="Rb8a9574e5ead4e6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0c87d452227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d7958cc5e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87d452227488c" /><Relationship Type="http://schemas.openxmlformats.org/officeDocument/2006/relationships/header" Target="/word/header1.xml" Id="Rd33c0d253ae9471a" /><Relationship Type="http://schemas.openxmlformats.org/officeDocument/2006/relationships/settings" Target="/word/settings.xml" Id="R155f535052d546de" /><Relationship Type="http://schemas.openxmlformats.org/officeDocument/2006/relationships/styles" Target="/word/styles.xml" Id="R0af643d9eabf4533" /><Relationship Type="http://schemas.openxmlformats.org/officeDocument/2006/relationships/numbering" Target="/word/numbering.xml" Id="R0d7de1bd387d4e58" /><Relationship Type="http://schemas.openxmlformats.org/officeDocument/2006/relationships/hyperlink" Target="https://meteor.aihw.gov.au/RegistrationAuthority/12" TargetMode="External" Id="Rc178b4e59961421e" /><Relationship Type="http://schemas.openxmlformats.org/officeDocument/2006/relationships/hyperlink" Target="https://meteor.aihw.gov.au/content/500080" TargetMode="External" Id="R6450ccb4cd9a4df4" /><Relationship Type="http://schemas.openxmlformats.org/officeDocument/2006/relationships/hyperlink" Target="https://meteor.aihw.gov.au/RegistrationAuthority/12" TargetMode="External" Id="Rcccaa86e2ef041c3" /><Relationship Type="http://schemas.openxmlformats.org/officeDocument/2006/relationships/hyperlink" Target="https://meteor.aihw.gov.au/content/517708" TargetMode="External" Id="Rd2b7ff80a2fc4a8d" /><Relationship Type="http://schemas.openxmlformats.org/officeDocument/2006/relationships/hyperlink" Target="https://meteor.aihw.gov.au/RegistrationAuthority/12" TargetMode="External" Id="Rf05eb646ed3e4581" /><Relationship Type="http://schemas.openxmlformats.org/officeDocument/2006/relationships/hyperlink" Target="https://meteor.aihw.gov.au/content/496816" TargetMode="External" Id="R8c724e4136454de5" /><Relationship Type="http://schemas.openxmlformats.org/officeDocument/2006/relationships/hyperlink" Target="https://meteor.aihw.gov.au/RegistrationAuthority/12" TargetMode="External" Id="Rb8a9574e5ead4e6c" /></Relationships>
</file>

<file path=word/_rels/header1.xml.rels>&#65279;<?xml version="1.0" encoding="utf-8"?><Relationships xmlns="http://schemas.openxmlformats.org/package/2006/relationships"><Relationship Type="http://schemas.openxmlformats.org/officeDocument/2006/relationships/image" Target="/media/image.png" Id="R646d7958cc5e4921" /></Relationships>
</file>