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ac0a1182224ca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2013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4490a1c288415d">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is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w:t>
            </w:r>
          </w:p>
          <w:p>
            <w:pPr>
              <w:spacing w:after="160"/>
            </w:pPr>
            <w:r>
              <w:rPr>
                <w:rStyle w:val="row-content-rich-text"/>
              </w:rPr>
              <w:t xml:space="preserve">Every year, the 30 June ERP is further disaggregated by sex and single year of age, and is made available five to six 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ERP data is not changed once it has been finalised. Releasing preliminary, revised and final ERP involves a balance between timeliness and accuracy.</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age-standardised, using the direct method, to ‘under 75 years’ of age. Direct age-standardisation to the 2001 total Australian population was used. Age-standardised results provide a measure of relative difference only between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is not subject to sampling error. However,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w:t>
            </w:r>
          </w:p>
          <w:p>
            <w:pPr>
              <w:spacing w:after="160"/>
            </w:pPr>
            <w:r>
              <w:rPr>
                <w:rStyle w:val="row-content-rich-text"/>
              </w:rPr>
              <w:t xml:space="preserve">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Previous COAG reporting and </w:t>
            </w:r>
            <w:r>
              <w:rPr>
                <w:rStyle w:val="row-content-rich-text"/>
                <w:i/>
              </w:rPr>
              <w:t xml:space="preserve">Causes of Death, Australia</w:t>
            </w:r>
            <w:r>
              <w:rPr>
                <w:rStyle w:val="row-content-rich-text"/>
              </w:rPr>
              <w:t xml:space="preserve"> (cat. no. 3303.0) publications prior to the 2010 edition indicated that all coroner certified deaths registered after 1 January 2007 are now subject to a revisions process. In order to improve the quality of historical data, the 2006 reference year data has also been revised. Therefore, in this round of COAG reporting, 2006, 2007 and 2008 data is final, 2009 data is revised and 2010 data is preliminary. Data for 2009 and 2010 is subject to further revisions. This is a change from previous years (up to the 2005 reference year)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 certified deaths, as further information becomes available to the ABS about the causes of these deaths. See </w:t>
            </w:r>
            <w:r>
              <w:rPr>
                <w:rStyle w:val="row-content-rich-text"/>
                <w:i/>
              </w:rPr>
              <w:t xml:space="preserve">Technical Note: Causes of Death Revisions 2006 and Causes of Death Revisions 2008 and 2009</w:t>
            </w:r>
            <w:r>
              <w:rPr>
                <w:rStyle w:val="row-content-rich-text"/>
              </w:rPr>
              <w:t xml:space="preserve"> and in </w:t>
            </w:r>
            <w:r>
              <w:rPr>
                <w:rStyle w:val="row-content-rich-text"/>
                <w:i/>
              </w:rPr>
              <w:t xml:space="preserve">Causes of Death, Australia, 2010 </w:t>
            </w:r>
            <w:r>
              <w:rPr>
                <w:rStyle w:val="row-content-rich-text"/>
              </w:rPr>
              <w:t xml:space="preserve">(cat. no. 3303.0).</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w:t>
            </w:r>
          </w:p>
          <w:p>
            <w:pPr>
              <w:spacing w:after="160"/>
            </w:pPr>
            <w:r>
              <w:rPr>
                <w:rStyle w:val="row-content-rich-text"/>
              </w:rPr>
              <w:t xml:space="preserve">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Please note that there are differences between data output in the </w:t>
            </w:r>
            <w:r>
              <w:rPr>
                <w:rStyle w:val="row-content-rich-text"/>
                <w:i/>
              </w:rPr>
              <w:t xml:space="preserve">Causes of Death, Australia, 2010</w:t>
            </w:r>
            <w:r>
              <w:rPr>
                <w:rStyle w:val="row-content-rich-text"/>
              </w:rPr>
              <w:t xml:space="preserve"> publication (cat. No. 3303.0) and 2010 data reported for COAG, as this adjustment was not applied in the publication. For further details see Technical Note: Registration of outstanding deaths, Queensland 2010, from the </w:t>
            </w:r>
            <w:r>
              <w:rPr>
                <w:rStyle w:val="row-content-rich-text"/>
                <w:i/>
              </w:rPr>
              <w:t xml:space="preserve">Deaths, Australia, 2010</w:t>
            </w:r>
            <w:r>
              <w:rPr>
                <w:rStyle w:val="row-content-rich-text"/>
              </w:rPr>
              <w:t xml:space="preserve"> publication (cat. no. 3302.0) and Explanatory Note 103 in the </w:t>
            </w:r>
            <w:r>
              <w:rPr>
                <w:rStyle w:val="row-content-rich-text"/>
                <w:i/>
              </w:rPr>
              <w:t xml:space="preserve">Causes of Death, Australia, 2010</w:t>
            </w:r>
            <w:r>
              <w:rPr>
                <w:rStyle w:val="row-content-rich-text"/>
              </w:rPr>
              <w:t xml:space="preserve"> publication (cat. no. 3303.0).</w:t>
            </w:r>
          </w:p>
          <w:p>
            <w:pPr>
              <w:spacing w:after="160"/>
            </w:pPr>
            <w:r>
              <w:rPr>
                <w:rStyle w:val="row-content-rich-text"/>
              </w:rPr>
              <w:t xml:space="preserve">Investigation conducted by the WA Registrar of Births, Deaths and Marriages indicated that some deaths of non-Indigenous people were wrongly recorded as deaths of Indigenous people in WA for 2007, 2008 and 2009. The ABS discussed this issue with a range of key stakeholders and users of Aboriginal and Torres Strait Islander deaths statistics.</w:t>
            </w:r>
          </w:p>
          <w:p>
            <w:pPr>
              <w:spacing w:after="160"/>
            </w:pPr>
            <w:r>
              <w:rPr>
                <w:rStyle w:val="row-content-rich-text"/>
              </w:rPr>
              <w:t xml:space="preserve">Following this discussion, the ABS did not release WA Aboriginal and Torres Strait Islander deaths data for the years 2007, 2008 and 2009 in the 2010 issue of Deaths, Australia publication, or in the 2011 COAG data supply. The WA Registry corrected the data and resupplied the corrected data to the ABS. These corrected data were then released by the ABS in spreadsheets attached to </w:t>
            </w:r>
            <w:r>
              <w:rPr>
                <w:rStyle w:val="row-content-rich-text"/>
                <w:i/>
              </w:rPr>
              <w:t xml:space="preserve">Deaths, Australia, 2010</w:t>
            </w:r>
            <w:r>
              <w:rPr>
                <w:rStyle w:val="row-content-rich-text"/>
              </w:rPr>
              <w:t xml:space="preserve"> (ABS, 2011) publication on 24 May 2012, and are now included in this round of COAG reporting.</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w:t>
            </w:r>
          </w:p>
          <w:p>
            <w:pPr>
              <w:spacing w:after="160"/>
            </w:pPr>
            <w:r>
              <w:rPr>
                <w:rStyle w:val="row-content-rich-text"/>
              </w:rPr>
              <w:t xml:space="preserve">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Causes of Death collection do not include death registrations with a ‘not stated’ Indigenous status.</w:t>
            </w:r>
          </w:p>
          <w:p>
            <w:pPr>
              <w:spacing w:after="160"/>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As such, age-standardised death rates based on a very low death count have been deemed unpublishable. Some cells have also not been published to prevent back-calculation of these suppressed cells.</w:t>
            </w:r>
          </w:p>
          <w:p>
            <w:pPr>
              <w:spacing w:after="160"/>
            </w:pPr>
            <w:r>
              <w:rPr>
                <w:rStyle w:val="row-content-rich-text"/>
              </w:rPr>
              <w:t xml:space="preserve">Caution should be used when interpreting rates for this indicator.</w:t>
            </w:r>
          </w:p>
          <w:p>
            <w:pPr>
              <w:spacing w:after="160"/>
            </w:pPr>
            <w:r>
              <w:rPr>
                <w:rStyle w:val="row-content-rich-text"/>
              </w:rPr>
              <w:t xml:space="preserve">Data for 2007 was final in both the 2011 and 2012 supply of COAG data.</w:t>
            </w:r>
          </w:p>
          <w:p>
            <w:pPr/>
            <w:r>
              <w:rPr>
                <w:rStyle w:val="row-content-rich-text"/>
              </w:rPr>
              <w:t xml:space="preserve">Despite this, there are very slight differences between the 2007 data reported in Table 20.4, compared with the same raw figures that were supplied in 2011 (Table 20.6). This is due to age at death 'not stated' being included in the raw figures for preventable and treatable causes of death in the 2011 reporting, but not in the current data supply. It was also identified that ICD-10 code J02.0 is included in the definition of two treatable variables: Selected invasive bacterial and protozoal infections and Upper respiratory tract infection. The Productivity Commission identified their preference to have J02.0 included only in data for Selected invasive bacterial and protozoal infections (thus avoiding deaths for this code being double-counted in the total figures). This, and the inclusion of age ‘not stated’ last year, account for all differences between this year and last year's 2007 data for Indicator 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d90b4cebf345d2">
              <w:r>
                <w:rPr>
                  <w:rStyle w:val="Hyperlink"/>
                </w:rPr>
                <w:t xml:space="preserve">National Healthcare Agreement: PI 20-Potentially avoidable deaths, 2012 QS</w:t>
              </w:r>
            </w:hyperlink>
          </w:p>
          <w:p>
            <w:pPr>
              <w:spacing w:before="0" w:after="0"/>
            </w:pPr>
            <w:r>
              <w:rPr>
                <w:rStyle w:val="row-content"/>
                <w:color w:val="244061"/>
              </w:rPr>
              <w:t xml:space="preserve">       </w:t>
            </w:r>
            <w:hyperlink w:history="true" r:id="R1d8b1865054d4169">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289c578c90244038">
              <w:r>
                <w:rPr>
                  <w:rStyle w:val="Hyperlink"/>
                </w:rPr>
                <w:t xml:space="preserve">National Healthcare Agreement: PI 16-Potentially avoidable deaths, 2014 QS</w:t>
              </w:r>
            </w:hyperlink>
          </w:p>
          <w:p>
            <w:pPr>
              <w:spacing w:before="0" w:after="0"/>
            </w:pPr>
            <w:r>
              <w:rPr>
                <w:rStyle w:val="row-content"/>
                <w:color w:val="244061"/>
              </w:rPr>
              <w:t xml:space="preserve">       </w:t>
            </w:r>
            <w:hyperlink w:history="true" r:id="R8796da1f78b74651">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cfe3741e1f84d1f">
              <w:r>
                <w:rPr>
                  <w:rStyle w:val="Hyperlink"/>
                </w:rPr>
                <w:t xml:space="preserve">National Healthcare Agreement: PI 16-Potentially avoidable deaths, 2013</w:t>
              </w:r>
            </w:hyperlink>
          </w:p>
          <w:p>
            <w:pPr>
              <w:spacing w:before="0" w:after="0"/>
            </w:pPr>
            <w:r>
              <w:rPr>
                <w:rStyle w:val="row-content"/>
                <w:color w:val="244061"/>
              </w:rPr>
              <w:t xml:space="preserve">       </w:t>
            </w:r>
            <w:hyperlink w:history="true" r:id="Rc2b35bacf47b4c3f">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e943dbb6bb9a4f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511943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2dc25114d140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43dbb6bb9a4fba" /><Relationship Type="http://schemas.openxmlformats.org/officeDocument/2006/relationships/header" Target="/word/header1.xml" Id="Rab38a72512f44410" /><Relationship Type="http://schemas.openxmlformats.org/officeDocument/2006/relationships/settings" Target="/word/settings.xml" Id="R19755d9d3bae4f59" /><Relationship Type="http://schemas.openxmlformats.org/officeDocument/2006/relationships/styles" Target="/word/styles.xml" Id="Rea8bc419b88b42cb" /><Relationship Type="http://schemas.openxmlformats.org/officeDocument/2006/relationships/hyperlink" Target="https://meteor.aihw.gov.au/RegistrationAuthority/12" TargetMode="External" Id="Ra94490a1c288415d" /><Relationship Type="http://schemas.openxmlformats.org/officeDocument/2006/relationships/hyperlink" Target="https://meteor.aihw.gov.au/content/500535" TargetMode="External" Id="Rc4d90b4cebf345d2" /><Relationship Type="http://schemas.openxmlformats.org/officeDocument/2006/relationships/hyperlink" Target="https://meteor.aihw.gov.au/RegistrationAuthority/12" TargetMode="External" Id="R1d8b1865054d4169" /><Relationship Type="http://schemas.openxmlformats.org/officeDocument/2006/relationships/hyperlink" Target="https://meteor.aihw.gov.au/content/517743" TargetMode="External" Id="R289c578c90244038" /><Relationship Type="http://schemas.openxmlformats.org/officeDocument/2006/relationships/hyperlink" Target="https://meteor.aihw.gov.au/RegistrationAuthority/12" TargetMode="External" Id="R8796da1f78b74651" /><Relationship Type="http://schemas.openxmlformats.org/officeDocument/2006/relationships/hyperlink" Target="https://meteor.aihw.gov.au/content/497242" TargetMode="External" Id="R0cfe3741e1f84d1f" /><Relationship Type="http://schemas.openxmlformats.org/officeDocument/2006/relationships/hyperlink" Target="https://meteor.aihw.gov.au/RegistrationAuthority/12" TargetMode="External" Id="Rc2b35bacf47b4c3f" /></Relationships>
</file>

<file path=word/_rels/header1.xml.rels>&#65279;<?xml version="1.0" encoding="utf-8"?><Relationships xmlns="http://schemas.openxmlformats.org/package/2006/relationships"><Relationship Type="http://schemas.openxmlformats.org/officeDocument/2006/relationships/image" Target="/media/image.png" Id="R5d2dc25114d14074" /></Relationships>
</file>