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54978af2d4e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41d13265a46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r>
              <w:rPr>
                <w:rStyle w:val="row-content-rich-text"/>
                <w:i/>
              </w:rPr>
              <w:t xml:space="preserve">Technical Note: Causes of Death Revisions 2006 and Causes of Death Revisions 2008 and 2009</w:t>
            </w:r>
            <w:r>
              <w:rPr>
                <w:rStyle w:val="row-content-rich-text"/>
              </w:rPr>
              <w:t xml:space="preserve"> and in </w:t>
            </w:r>
            <w:r>
              <w:rPr>
                <w:rStyle w:val="row-content-rich-text"/>
                <w:i/>
              </w:rPr>
              <w:t xml:space="preserve">Causes of Death, Australia, 2010 </w:t>
            </w:r>
            <w:r>
              <w:rPr>
                <w:rStyle w:val="row-content-rich-text"/>
              </w:rPr>
              <w:t xml:space="preserve">(cat.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spacing w:after="160"/>
            </w:pPr>
            <w:r>
              <w:rPr>
                <w:rStyle w:val="row-content-rich-text"/>
              </w:rPr>
              <w:t xml:space="preserve">Caution should be used when interpreting rates for this indicator.</w:t>
            </w:r>
          </w:p>
          <w:p>
            <w:pPr>
              <w:spacing w:after="160"/>
            </w:pPr>
            <w:r>
              <w:rPr>
                <w:rStyle w:val="row-content-rich-text"/>
              </w:rPr>
              <w:t xml:space="preserve">Data for 2007 was final in both the 2011 and 2012 supply of COAG data.</w:t>
            </w:r>
          </w:p>
          <w:p>
            <w:pPr/>
            <w:r>
              <w:rPr>
                <w:rStyle w:val="row-content-rich-text"/>
              </w:rPr>
              <w:t xml:space="preserve">Despite this, there are very slight differences between the 2007 data reported in Table 20.4, compared with the same raw figures that were supplied in 2011 (Table 20.6). This is due to age at death 'not stated' being included in the raw figures for preventable and treatable causes of death in the 2011 reporting, but not in the current data supply. It was also identified that ICD-10 code J02.0 is included in the definition of two treatable variables: Selected invasive bacterial and protozoal infections and Upper respiratory tract infection. The Productivity Commission identified their preference to have J02.0 included only in data for Selected invasive bacterial and protozoal infections (thus avoiding deaths for this code being double-counted in the total figures). This, and the inclusion of age ‘not stated’ last year, account for all differences between this year and last year's 2007 data for Indicator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7a40d768d341a7">
              <w:r>
                <w:rPr>
                  <w:rStyle w:val="Hyperlink"/>
                </w:rPr>
                <w:t xml:space="preserve">National Healthcare Agreement: PI 20-Potentially avoidable deaths, 2012 QS</w:t>
              </w:r>
            </w:hyperlink>
          </w:p>
          <w:p>
            <w:pPr>
              <w:spacing w:before="0" w:after="0"/>
            </w:pPr>
            <w:r>
              <w:rPr>
                <w:rStyle w:val="row-content"/>
                <w:color w:val="244061"/>
              </w:rPr>
              <w:t xml:space="preserve">       </w:t>
            </w:r>
            <w:hyperlink w:history="true" r:id="R5766ac3caee543a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958fe96967c4ba0">
              <w:r>
                <w:rPr>
                  <w:rStyle w:val="Hyperlink"/>
                </w:rPr>
                <w:t xml:space="preserve">National Healthcare Agreement: PI 16-Potentially avoidable deaths, 2014 QS</w:t>
              </w:r>
            </w:hyperlink>
          </w:p>
          <w:p>
            <w:pPr>
              <w:spacing w:before="0" w:after="0"/>
            </w:pPr>
            <w:r>
              <w:rPr>
                <w:rStyle w:val="row-content"/>
                <w:color w:val="244061"/>
              </w:rPr>
              <w:t xml:space="preserve">       </w:t>
            </w:r>
            <w:hyperlink w:history="true" r:id="R9d9e9778ea2044b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8124be54e94568">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3c4e6043b9b34cf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9a59cb361b4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9ace48721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59cb361b44200" /><Relationship Type="http://schemas.openxmlformats.org/officeDocument/2006/relationships/header" Target="/word/header1.xml" Id="R61f2bfda6adc46ea" /><Relationship Type="http://schemas.openxmlformats.org/officeDocument/2006/relationships/settings" Target="/word/settings.xml" Id="R8d71eb2df0ee4a31" /><Relationship Type="http://schemas.openxmlformats.org/officeDocument/2006/relationships/styles" Target="/word/styles.xml" Id="R2b2e3a19fff94549" /><Relationship Type="http://schemas.openxmlformats.org/officeDocument/2006/relationships/hyperlink" Target="https://meteor.aihw.gov.au/RegistrationAuthority/12" TargetMode="External" Id="R8a341d13265a46ba" /><Relationship Type="http://schemas.openxmlformats.org/officeDocument/2006/relationships/hyperlink" Target="https://meteor.aihw.gov.au/content/500535" TargetMode="External" Id="R757a40d768d341a7" /><Relationship Type="http://schemas.openxmlformats.org/officeDocument/2006/relationships/hyperlink" Target="https://meteor.aihw.gov.au/RegistrationAuthority/12" TargetMode="External" Id="R5766ac3caee543a1" /><Relationship Type="http://schemas.openxmlformats.org/officeDocument/2006/relationships/hyperlink" Target="https://meteor.aihw.gov.au/content/517743" TargetMode="External" Id="R6958fe96967c4ba0" /><Relationship Type="http://schemas.openxmlformats.org/officeDocument/2006/relationships/hyperlink" Target="https://meteor.aihw.gov.au/RegistrationAuthority/12" TargetMode="External" Id="R9d9e9778ea2044ba" /><Relationship Type="http://schemas.openxmlformats.org/officeDocument/2006/relationships/hyperlink" Target="https://meteor.aihw.gov.au/content/497242" TargetMode="External" Id="R448124be54e94568" /><Relationship Type="http://schemas.openxmlformats.org/officeDocument/2006/relationships/hyperlink" Target="https://meteor.aihw.gov.au/RegistrationAuthority/12" TargetMode="External" Id="R3c4e6043b9b34cff" /></Relationships>
</file>

<file path=word/_rels/header1.xml.rels>&#65279;<?xml version="1.0" encoding="utf-8"?><Relationships xmlns="http://schemas.openxmlformats.org/package/2006/relationships"><Relationship Type="http://schemas.openxmlformats.org/officeDocument/2006/relationships/image" Target="/media/image.png" Id="Rfca9ace487214087" /></Relationships>
</file>