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ece3bd79914d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4b5524882403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2011-12 data used for this indicator became available from 23 November 2012.</w:t>
            </w:r>
          </w:p>
          <w:p>
            <w:pPr>
              <w:spacing w:after="160"/>
            </w:pPr>
            <w:r>
              <w:rPr>
                <w:rStyle w:val="row-content-rich-text"/>
              </w:rPr>
              <w:t xml:space="preserve">Referenced Period: July 2011 to June 2012.</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waiting times for dental professionals are available in </w:t>
            </w:r>
            <w:r>
              <w:rPr>
                <w:rStyle w:val="row-content-rich-text"/>
                <w:i/>
              </w:rPr>
              <w:t xml:space="preserve">Patient Experiences in Australia: Summary of Findings, 2011-12</w:t>
            </w:r>
            <w:r>
              <w:rPr>
                <w:rStyle w:val="row-content-rich-text"/>
              </w:rPr>
              <w:t xml:space="preserve"> (cat. no. 4839.0). However, there are some notable differences in the data. The waiting times reported in the 4839.0 publication are for the length of time between making an appointment and seeing a dental professional for the most recent urgent dental care (ie it is not restricted to public dentistry, and it includes urgent dental care).</w:t>
            </w:r>
          </w:p>
          <w:p>
            <w:pPr>
              <w:spacing w:after="160"/>
            </w:pPr>
            <w:r>
              <w:rPr>
                <w:rStyle w:val="row-content-rich-text"/>
              </w:rPr>
              <w:t xml:space="preserve">Further, the waiting time categories differ to those presented in this indicator.</w:t>
            </w:r>
          </w:p>
          <w:p>
            <w:pPr>
              <w:spacing w:after="160"/>
            </w:pPr>
            <w:r>
              <w:rPr>
                <w:rStyle w:val="row-content-rich-text"/>
              </w:rPr>
              <w:t xml:space="preserve">The dental data available in 4839.0 is shown by Socio-Economic Indexes for Areas (SEIFA), remoteness, country of birth, self-assessed health status and whether has a long term health condition. Jurisdictional data is not currently publically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w:t>
            </w:r>
          </w:p>
          <w:p>
            <w:pPr>
              <w:spacing w:after="160"/>
            </w:pPr>
            <w:r>
              <w:rPr>
                <w:rStyle w:val="row-content-rich-text"/>
              </w:rPr>
              <w:t xml:space="preserve">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2011-12</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Quintile 1 contains the bottom 20 per cent of CDs, quintile 2 contains the next 20 per cent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2011-12</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and by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is available by the 2006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very remote areas, (although it still excluded discrete indigenous communities). The inclusion of very remote areas will serve to improve the coverage of the estimates, particularly for the Northern Territory.</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r>
              <w:rPr>
                <w:rStyle w:val="row-content-rich-text"/>
              </w:rPr>
              <w:t xml:space="preserve">Data was self-reported for this indicator. Respondents were instructed to exclude treatment for urgent dental care. The definition of 'urgent dental care' was left up to the respondent’s interpretation.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Australian population, and was adjusted to account for confidentiality, non-response and partial response.</w:t>
            </w:r>
          </w:p>
          <w:p>
            <w:pPr>
              <w:spacing w:after="160"/>
            </w:pPr>
            <w:r>
              <w:rPr>
                <w:rStyle w:val="row-content-rich-text"/>
              </w:rPr>
              <w:t xml:space="preserve">Sample/Collection size: The sample for the 2011-12 patient experience data was 26,437 fully-responding households.</w:t>
            </w:r>
          </w:p>
          <w:p>
            <w:pPr>
              <w:spacing w:after="160"/>
            </w:pPr>
            <w:r>
              <w:rPr>
                <w:rStyle w:val="row-content-rich-text"/>
              </w:rPr>
              <w:t xml:space="preserve">Response rate: Response rate for the survey was 79.6 per cent.</w:t>
            </w:r>
          </w:p>
          <w:p>
            <w:pPr>
              <w:spacing w:after="160"/>
            </w:pPr>
            <w:r>
              <w:rPr>
                <w:rStyle w:val="row-content-rich-text"/>
              </w:rPr>
              <w:t xml:space="preserve">Due to the very low prevalence rate for this data item (2 per cent) there were too many cells with high RSEs to provide meaningful and reliable data with the extensive cross classification and detailed categories in the original specifications. As such, some variables (such as waiting times and remoteness categories) had to be aggregated. In this instance, both the original specifications and the aggregated specifications have been provided. This was agreed with the Productivity Commission prior to delivery.</w:t>
            </w:r>
          </w:p>
          <w:p>
            <w:pPr>
              <w:spacing w:after="160"/>
            </w:pPr>
            <w:r>
              <w:rPr>
                <w:rStyle w:val="row-content-rich-text"/>
              </w:rPr>
              <w:t xml:space="preserve">However, even with the aforementioned aggregations, RSEs for this indicator are often greater than 25 per cent and should either be used with caution or are considered too unreliable for general use.</w:t>
            </w:r>
          </w:p>
          <w:p>
            <w:pPr>
              <w:spacing w:after="160"/>
            </w:pPr>
            <w:r>
              <w:rPr>
                <w:rStyle w:val="row-content-rich-text"/>
              </w:rPr>
              <w:t xml:space="preserve">Known Issues: Data was self-reported and interpretation of urgent dental care was left up the respondent. Further, this indicator may not cover those who saw a public dental professional but were not placed on a public dental waiting list.</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Data was not reported in the previous cycle. This is the first time data has been available from the ABS Patient Experience Survey.</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e93d12c19347ee">
              <w:r>
                <w:rPr>
                  <w:rStyle w:val="Hyperlink"/>
                </w:rPr>
                <w:t xml:space="preserve">National Healthcare Agreement: PI 13-Waiting times for public dentistry (Patient Experience Survey), 2014 QS</w:t>
              </w:r>
            </w:hyperlink>
          </w:p>
          <w:p>
            <w:pPr>
              <w:pStyle w:val="registration-status"/>
              <w:spacing w:before="0" w:after="0"/>
            </w:pPr>
            <w:hyperlink w:history="true" r:id="Rd5427aed667a4ff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d2485f41424141">
              <w:r>
                <w:rPr>
                  <w:rStyle w:val="Hyperlink"/>
                </w:rPr>
                <w:t xml:space="preserve">National Healthcare Agreement: PI 13-Waiting times for public dentistry, 2013</w:t>
              </w:r>
            </w:hyperlink>
          </w:p>
          <w:p>
            <w:pPr>
              <w:pStyle w:val="registration-status"/>
              <w:spacing w:before="0" w:after="0"/>
            </w:pPr>
            <w:hyperlink w:history="true" r:id="Rb1dabd069b724f2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3456c8bd783348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cd8a7deb6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6c8bd783348f3" /><Relationship Type="http://schemas.openxmlformats.org/officeDocument/2006/relationships/header" Target="/word/header1.xml" Id="R61feab7e1a85496e" /><Relationship Type="http://schemas.openxmlformats.org/officeDocument/2006/relationships/settings" Target="/word/settings.xml" Id="R96b85b6068d048e9" /><Relationship Type="http://schemas.openxmlformats.org/officeDocument/2006/relationships/styles" Target="/word/styles.xml" Id="R6c9e4beeec0e46bc" /><Relationship Type="http://schemas.openxmlformats.org/officeDocument/2006/relationships/numbering" Target="/word/numbering.xml" Id="R96a30ef67ec64c8f" /><Relationship Type="http://schemas.openxmlformats.org/officeDocument/2006/relationships/hyperlink" Target="https://meteor.aihw.gov.au/RegistrationAuthority/12" TargetMode="External" Id="R9074b55248824036" /><Relationship Type="http://schemas.openxmlformats.org/officeDocument/2006/relationships/hyperlink" Target="https://meteor.aihw.gov.au/content/517747" TargetMode="External" Id="Ra2e93d12c19347ee" /><Relationship Type="http://schemas.openxmlformats.org/officeDocument/2006/relationships/hyperlink" Target="https://meteor.aihw.gov.au/RegistrationAuthority/12" TargetMode="External" Id="Rd5427aed667a4ffd" /><Relationship Type="http://schemas.openxmlformats.org/officeDocument/2006/relationships/hyperlink" Target="https://meteor.aihw.gov.au/content/497262" TargetMode="External" Id="R44d2485f41424141" /><Relationship Type="http://schemas.openxmlformats.org/officeDocument/2006/relationships/hyperlink" Target="https://meteor.aihw.gov.au/RegistrationAuthority/12" TargetMode="External" Id="Rb1dabd069b724f2f" /></Relationships>
</file>

<file path=word/_rels/header1.xml.rels>&#65279;<?xml version="1.0" encoding="utf-8"?><Relationships xmlns="http://schemas.openxmlformats.org/package/2006/relationships"><Relationship Type="http://schemas.openxmlformats.org/officeDocument/2006/relationships/image" Target="/media/image.png" Id="R363cd8a7deb64924" /></Relationships>
</file>