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496306f08e403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0b7378f2c54f4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w:t>
            </w:r>
          </w:p>
          <w:p>
            <w:pPr>
              <w:spacing w:after="160"/>
            </w:pPr>
            <w:r>
              <w:rPr>
                <w:rStyle w:val="row-content-rich-text"/>
              </w:rPr>
              <w:t xml:space="preserve">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Deaths data are available in a variety of formats on the ABS website under the 3302.0 product family. Births data are available in a variety of formats on the ABS website under the 3301.0 product family. ERP data is available in a variety of formats on the ABS website under the 3101.0 product family.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live births or 1,000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data are published on an annual basis. The ABS Deaths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pPr/>
            <w:r>
              <w:rPr>
                <w:rStyle w:val="row-content-rich-text"/>
              </w:rPr>
              <w:t xml:space="preserve">For further information on the ABS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births and deaths is obtained from a complete enumeration of births and deaths registered during a specified period and are not subject to sampling error. However, births and deaths data sources are subject to non-sampling error which can arise from inaccuracies in collecting, recording and processing the data.</w:t>
            </w:r>
          </w:p>
          <w:p>
            <w:pPr>
              <w:spacing w:after="160"/>
            </w:pPr>
            <w:r>
              <w:rPr>
                <w:rStyle w:val="row-content-rich-text"/>
              </w:rPr>
              <w:t xml:space="preserve">Concerns have been raised with the accuracy of the NSW births counts in recent years. In response to these concerns the ABS, in conjunction with the NSW Registry of Births, Deaths and Marriages, has undertaken an investigation which has led to the identification of an ABS systems processing error. The ABS acknowledges that this has resulted in previous undercounts of births in NSW. Data for 2011 have been corrected to ensure that the births and fertility statistics and preliminary rebased estimated resident population for NSW are correct. Further investigation will be undertaken into NSW births data for previous reference periods and action will be taken where required.</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w:t>
            </w:r>
          </w:p>
          <w:p>
            <w:pPr>
              <w:spacing w:after="160"/>
            </w:pPr>
            <w:r>
              <w:rPr>
                <w:rStyle w:val="row-content-rich-text"/>
              </w:rPr>
              <w:t xml:space="preserve">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(cat. no. 3303.0) and 2010 data reported for COAG, as this adjustment was not applied in the publication. For further details see </w:t>
            </w:r>
            <w:r>
              <w:rPr>
                <w:rStyle w:val="row-content-rich-text"/>
                <w:i/>
              </w:rPr>
              <w:t xml:space="preserve">Technical Note: Registration of outstanding deaths, Queensland 2010</w:t>
            </w:r>
            <w:r>
              <w:rPr>
                <w:rStyle w:val="row-content-rich-text"/>
              </w:rPr>
              <w:t xml:space="preserve">, from the </w:t>
            </w:r>
            <w:r>
              <w:rPr>
                <w:rStyle w:val="row-content-rich-text"/>
                <w:i/>
              </w:rPr>
              <w:t xml:space="preserve">Deaths, Australia, 2010</w:t>
            </w:r>
            <w:r>
              <w:rPr>
                <w:rStyle w:val="row-content-rich-text"/>
              </w:rPr>
              <w:t xml:space="preserve"> publication (cat. no. 3302.0) and </w:t>
            </w:r>
            <w:r>
              <w:rPr>
                <w:rStyle w:val="row-content-rich-text"/>
                <w:i/>
              </w:rPr>
              <w:t xml:space="preserve">Explanatory Note 103</w:t>
            </w:r>
            <w:r>
              <w:rPr>
                <w:rStyle w:val="row-content-rich-text"/>
              </w:rPr>
              <w:t xml:space="preserve"> in the </w:t>
            </w:r>
            <w:r>
              <w:rPr>
                <w:rStyle w:val="row-content-rich-text"/>
                <w:i/>
              </w:rPr>
              <w:t xml:space="preserve">Causes of Death, Australia, 2010</w:t>
            </w:r>
            <w:r>
              <w:rPr>
                <w:rStyle w:val="row-content-rich-text"/>
              </w:rPr>
              <w:t xml:space="preserve"> publication (cat. no. 3303.0).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w:t>
            </w:r>
          </w:p>
          <w:p>
            <w:pPr>
              <w:spacing w:after="160"/>
            </w:pPr>
            <w:r>
              <w:rPr>
                <w:rStyle w:val="row-content-rich-text"/>
              </w:rPr>
              <w:t xml:space="preserve">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(ABS, 2011) publication on 24 May 2012, and are now included in this round of COAG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w:t>
            </w:r>
          </w:p>
          <w:p>
            <w:pPr>
              <w:spacing w:after="160"/>
            </w:pPr>
            <w:r>
              <w:rPr>
                <w:rStyle w:val="row-content-rich-text"/>
              </w:rPr>
              <w:t xml:space="preserve">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Deaths and Births collection do not include death registrations with a ‘not stated’ Indigenous status.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As such, age-standardised death rates based on a very low death count have been deemed unpublishable. Some cells have also not been published to prevent back-calculation of these suppressed cells.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146a494ebe4e87">
              <w:r>
                <w:rPr>
                  <w:rStyle w:val="Hyperlink"/>
                </w:rPr>
                <w:t xml:space="preserve">National Healthcare Agreement: PI 19-Infant and young child mortality rate, 2012 QS</w:t>
              </w:r>
            </w:hyperlink>
          </w:p>
          <w:p>
            <w:pPr>
              <w:spacing w:before="0" w:after="0"/>
            </w:pPr>
            <w:r>
              <w:rPr>
                <w:rStyle w:val="row-content"/>
                <w:color w:val="244061"/>
              </w:rPr>
              <w:t xml:space="preserve">       </w:t>
            </w:r>
            <w:hyperlink w:history="true" r:id="Rdd24962108e145e8">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87999add7f3b47fa">
              <w:r>
                <w:rPr>
                  <w:rStyle w:val="Hyperlink"/>
                </w:rPr>
                <w:t xml:space="preserve">National Healthcare Agreement: PI 07-Infant and young child mortality rate, 2014 QS</w:t>
              </w:r>
            </w:hyperlink>
          </w:p>
          <w:p>
            <w:pPr>
              <w:spacing w:before="0" w:after="0"/>
            </w:pPr>
            <w:r>
              <w:rPr>
                <w:rStyle w:val="row-content"/>
                <w:color w:val="244061"/>
              </w:rPr>
              <w:t xml:space="preserve">       </w:t>
            </w:r>
            <w:hyperlink w:history="true" r:id="R1320596c65d9478d">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c00048ec0fb4f34">
              <w:r>
                <w:rPr>
                  <w:rStyle w:val="Hyperlink"/>
                </w:rPr>
                <w:t xml:space="preserve">National Healthcare Agreement: PI 07-Infant and young child mortality rate, 2013</w:t>
              </w:r>
            </w:hyperlink>
          </w:p>
          <w:p>
            <w:pPr>
              <w:spacing w:before="0" w:after="0"/>
            </w:pPr>
            <w:r>
              <w:rPr>
                <w:rStyle w:val="row-content"/>
                <w:color w:val="244061"/>
              </w:rPr>
              <w:t xml:space="preserve">       </w:t>
            </w:r>
            <w:hyperlink w:history="true" r:id="R4eb24092ca644904">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50a7d5da630842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06c111735c4e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a7d5da630842fe" /><Relationship Type="http://schemas.openxmlformats.org/officeDocument/2006/relationships/header" Target="/word/header1.xml" Id="R4842e9073b894954" /><Relationship Type="http://schemas.openxmlformats.org/officeDocument/2006/relationships/settings" Target="/word/settings.xml" Id="R5cf1c73237c34c16" /><Relationship Type="http://schemas.openxmlformats.org/officeDocument/2006/relationships/styles" Target="/word/styles.xml" Id="Rcb73a918c2ff4005" /><Relationship Type="http://schemas.openxmlformats.org/officeDocument/2006/relationships/hyperlink" Target="https://meteor.aihw.gov.au/RegistrationAuthority/12" TargetMode="External" Id="R930b7378f2c54f4a" /><Relationship Type="http://schemas.openxmlformats.org/officeDocument/2006/relationships/hyperlink" Target="https://meteor.aihw.gov.au/content/500540" TargetMode="External" Id="Rd5146a494ebe4e87" /><Relationship Type="http://schemas.openxmlformats.org/officeDocument/2006/relationships/hyperlink" Target="https://meteor.aihw.gov.au/RegistrationAuthority/12" TargetMode="External" Id="Rdd24962108e145e8" /><Relationship Type="http://schemas.openxmlformats.org/officeDocument/2006/relationships/hyperlink" Target="https://meteor.aihw.gov.au/content/517758" TargetMode="External" Id="R87999add7f3b47fa" /><Relationship Type="http://schemas.openxmlformats.org/officeDocument/2006/relationships/hyperlink" Target="https://meteor.aihw.gov.au/RegistrationAuthority/12" TargetMode="External" Id="R1320596c65d9478d" /><Relationship Type="http://schemas.openxmlformats.org/officeDocument/2006/relationships/hyperlink" Target="https://meteor.aihw.gov.au/content/498177" TargetMode="External" Id="R7c00048ec0fb4f34" /><Relationship Type="http://schemas.openxmlformats.org/officeDocument/2006/relationships/hyperlink" Target="https://meteor.aihw.gov.au/RegistrationAuthority/12" TargetMode="External" Id="R4eb24092ca644904" /></Relationships>
</file>

<file path=word/_rels/header1.xml.rels>&#65279;<?xml version="1.0" encoding="utf-8"?><Relationships xmlns="http://schemas.openxmlformats.org/package/2006/relationships"><Relationship Type="http://schemas.openxmlformats.org/officeDocument/2006/relationships/image" Target="/media/image.png" Id="Rb706c111735c4ea1" /></Relationships>
</file>