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7aa32059440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310a5935e463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(AHS)/National Health Survey (NHS)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This indicator generally has acceptable levels of sampling error for State/Territory by sex and age breakdown, for persons under the age of 65 years. For persons aged 65 years and over, rates should either be used with caution or are considered too unreliable for general use.</w:t>
            </w:r>
          </w:p>
          <w:p>
            <w:pPr>
              <w:spacing w:after="160"/>
            </w:pPr>
            <w:r>
              <w:rPr>
                <w:rStyle w:val="row-content-rich-text"/>
              </w:rPr>
              <w:t xml:space="preserve">RSEs for adult smoking rates by State/Territory and remote areas are mostly greater than 25 per cent and should either be used with caution or are considered too unreliable for general use.</w:t>
            </w:r>
          </w:p>
          <w:p>
            <w:pPr>
              <w:spacing w:after="160"/>
            </w:pPr>
            <w:r>
              <w:rPr>
                <w:rStyle w:val="row-content-rich-text"/>
              </w:rPr>
              <w:t xml:space="preserve">Adult smoking rates generally have acceptable levels of sampling error for State/Territory and SEIFA quintiles, though some rates for Tasmania, Australian Capital Territory and Northern Territory should either be used with caution or are considered too unreliable for general use.</w:t>
            </w:r>
          </w:p>
          <w:p>
            <w:pPr/>
            <w:r>
              <w:rPr>
                <w:rStyle w:val="row-content-rich-text"/>
              </w:rPr>
              <w:t xml:space="preserve">The accuracy of current daily smoker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6f70827ae9488f">
              <w:r>
                <w:rPr>
                  <w:rStyle w:val="Hyperlink"/>
                </w:rPr>
                <w:t xml:space="preserve">National Healthcare Agreement: P06-Proportion of adults who are daily smokers, 2010 QS</w:t>
              </w:r>
            </w:hyperlink>
          </w:p>
          <w:p>
            <w:pPr>
              <w:pStyle w:val="registration-status"/>
              <w:spacing w:before="0" w:after="0"/>
            </w:pPr>
            <w:hyperlink w:history="true" r:id="Raaac8a483a274710">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43a6232202224dff">
              <w:r>
                <w:rPr>
                  <w:rStyle w:val="Hyperlink"/>
                </w:rPr>
                <w:t xml:space="preserve">National Healthcare Agreement: PI 04-Rates of current daily smokers, 2014 QS</w:t>
              </w:r>
            </w:hyperlink>
          </w:p>
          <w:p>
            <w:pPr>
              <w:pStyle w:val="registration-status"/>
              <w:spacing w:before="0" w:after="0"/>
            </w:pPr>
            <w:hyperlink w:history="true" r:id="Rf37eab6b141d455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f862b9bc854761">
              <w:r>
                <w:rPr>
                  <w:rStyle w:val="Hyperlink"/>
                </w:rPr>
                <w:t xml:space="preserve">National Healthcare Agreement: PI 04-Rates of current daily smokers, 2013</w:t>
              </w:r>
            </w:hyperlink>
          </w:p>
          <w:p>
            <w:pPr>
              <w:pStyle w:val="registration-status"/>
              <w:spacing w:before="0" w:after="0"/>
            </w:pPr>
            <w:hyperlink w:history="true" r:id="R99cb7f8ff026428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b90f6abd066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3d7b5961d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0f6abd0664c31" /><Relationship Type="http://schemas.openxmlformats.org/officeDocument/2006/relationships/header" Target="/word/header1.xml" Id="Reb0808889c714864" /><Relationship Type="http://schemas.openxmlformats.org/officeDocument/2006/relationships/settings" Target="/word/settings.xml" Id="R5d77f8b1370e4be3" /><Relationship Type="http://schemas.openxmlformats.org/officeDocument/2006/relationships/styles" Target="/word/styles.xml" Id="Rc49ec7f93c264614" /><Relationship Type="http://schemas.openxmlformats.org/officeDocument/2006/relationships/hyperlink" Target="https://meteor.aihw.gov.au/RegistrationAuthority/12" TargetMode="External" Id="R47f310a5935e4632" /><Relationship Type="http://schemas.openxmlformats.org/officeDocument/2006/relationships/hyperlink" Target="https://meteor.aihw.gov.au/content/407734" TargetMode="External" Id="R7d6f70827ae9488f" /><Relationship Type="http://schemas.openxmlformats.org/officeDocument/2006/relationships/hyperlink" Target="https://meteor.aihw.gov.au/RegistrationAuthority/12" TargetMode="External" Id="Raaac8a483a274710" /><Relationship Type="http://schemas.openxmlformats.org/officeDocument/2006/relationships/hyperlink" Target="https://meteor.aihw.gov.au/content/517764" TargetMode="External" Id="R43a6232202224dff" /><Relationship Type="http://schemas.openxmlformats.org/officeDocument/2006/relationships/hyperlink" Target="https://meteor.aihw.gov.au/RegistrationAuthority/12" TargetMode="External" Id="Rf37eab6b141d455c" /><Relationship Type="http://schemas.openxmlformats.org/officeDocument/2006/relationships/hyperlink" Target="https://meteor.aihw.gov.au/content/498203" TargetMode="External" Id="Rfaf862b9bc854761" /><Relationship Type="http://schemas.openxmlformats.org/officeDocument/2006/relationships/hyperlink" Target="https://meteor.aihw.gov.au/RegistrationAuthority/12" TargetMode="External" Id="R99cb7f8ff0264282" /></Relationships>
</file>

<file path=word/_rels/header1.xml.rels>&#65279;<?xml version="1.0" encoding="utf-8"?><Relationships xmlns="http://schemas.openxmlformats.org/package/2006/relationships"><Relationship Type="http://schemas.openxmlformats.org/officeDocument/2006/relationships/image" Target="/media/image.png" Id="R6c43d7b5961d4bb4" /></Relationships>
</file>