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a6508b4ba454e"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(NSABDC) Data Quality Statement: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(NSABDC) Data Quality Statement: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92e79106846b0">
              <w:r>
                <w:rPr>
                  <w:rStyle w:val="Hyperlink"/>
                  <w:color w:val="244061"/>
                </w:rPr>
                <w:t xml:space="preserve">AIHW Data Quality Statements</w:t>
              </w:r>
            </w:hyperlink>
            <w:r>
              <w:rPr>
                <w:rStyle w:val="row-content"/>
                <w:color w:val="244061"/>
              </w:rPr>
              <w:t xml:space="preserve">, Superseded 03/02/2017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includes counts of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for public hospitals are collected in the hospital infection control arrangements by state and territory health authorities. Data on MRSA and MSSA cases for public hospitals are reported separately at a state or territory level.</w:t>
            </w:r>
          </w:p>
          <w:p>
            <w:pPr>
              <w:spacing w:after="160"/>
            </w:pPr>
            <w:r>
              <w:rPr>
                <w:rStyle w:val="row-content-rich-text"/>
              </w:rPr>
              <w:t xml:space="preserve">The data include the counts of patient days under surveillance.</w:t>
            </w:r>
          </w:p>
          <w:p>
            <w:pPr>
              <w:spacing w:after="160"/>
            </w:pPr>
            <w:r>
              <w:rPr>
                <w:rStyle w:val="row-content-rich-text"/>
              </w:rPr>
              <w:t xml:space="preserve">A case (patient episode) of SAB is defined as a positive blood culture for Staphylococcus aureus.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 episode of SAB:</w:t>
            </w:r>
          </w:p>
          <w:p>
            <w:pPr>
              <w:spacing w:after="160"/>
            </w:pPr>
            <w:r>
              <w:rPr>
                <w:rStyle w:val="row-content-rich-text"/>
              </w:rPr>
              <w:t xml:space="preserve"> </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An invasive instrumentation or incision related to the SAB was performed within 48 hours.</w:t>
            </w:r>
          </w:p>
          <w:p>
            <w:pPr>
              <w:spacing w:after="160"/>
            </w:pPr>
            <w:r>
              <w:rPr>
                <w:rStyle w:val="row-content-rich-text"/>
              </w:rPr>
              <w:t xml:space="preserve">4. 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This definition of a case of SAB was used by all states and territories for reporting for the 2011–12 year.</w:t>
            </w:r>
          </w:p>
          <w:p>
            <w:pPr>
              <w:spacing w:after="160"/>
            </w:pPr>
            <w:r>
              <w:rPr>
                <w:rStyle w:val="row-content-rich-text"/>
                <w:b/>
              </w:rPr>
              <w:t xml:space="preserve">Summary of key issues</w:t>
            </w:r>
          </w:p>
          <w:p>
            <w:pPr>
              <w:spacing w:after="160"/>
            </w:pPr>
            <w:r>
              <w:rPr>
                <w:rStyle w:val="row-content-rich-text"/>
              </w:rPr>
              <w:t xml:space="preserve"> </w:t>
            </w:r>
          </w:p>
          <w:p>
            <w:pPr>
              <w:spacing w:after="160"/>
            </w:pPr>
            <w:r>
              <w:rPr>
                <w:rStyle w:val="row-content-rich-text"/>
              </w:rPr>
              <w:t xml:space="preserve">• The NSABDC is a data set that includes counts of cases of SAB for each public hospital covered by SAB surveillance arrangements, and for private hospitals that choose to provide data.</w:t>
            </w:r>
          </w:p>
          <w:p>
            <w:pPr>
              <w:spacing w:after="160"/>
            </w:pPr>
            <w:r>
              <w:rPr>
                <w:rStyle w:val="row-content-rich-text"/>
              </w:rPr>
              <w:t xml:space="preserve">• Cases of SAB have been reported by all states and territories using the nationally agreed case definition.</w:t>
            </w:r>
          </w:p>
          <w:p>
            <w:pPr>
              <w:spacing w:after="160"/>
            </w:pPr>
            <w:r>
              <w:rPr>
                <w:rStyle w:val="row-content-rich-text"/>
              </w:rPr>
              <w:t xml:space="preserve">• There may be imprecise exclusion of some SAB cases due to the inherent difficulties in determining the origins of SAB episodes, such as those originating from private hospitals and non-hospital settings.</w:t>
            </w:r>
          </w:p>
          <w:p>
            <w:pPr>
              <w:spacing w:after="160"/>
            </w:pPr>
            <w:r>
              <w:rPr>
                <w:rStyle w:val="row-content-rich-text"/>
              </w:rPr>
              <w:t xml:space="preserve">• For some states and territories there is less than 100 per cent coverage of public hospitals.</w:t>
            </w:r>
          </w:p>
          <w:p>
            <w:pPr>
              <w:spacing w:after="160"/>
            </w:pPr>
            <w:r>
              <w:rPr>
                <w:rStyle w:val="row-content-rich-text"/>
              </w:rPr>
              <w:t xml:space="preserve">• The data for 2011–12 are comparable with the revised data for 2010–11 as published in </w:t>
            </w:r>
            <w:r>
              <w:rPr>
                <w:rStyle w:val="row-content-rich-text"/>
                <w:i/>
              </w:rPr>
              <w:t xml:space="preserve">Australian hospital statistics 2011–2012:</w:t>
            </w:r>
            <w:r>
              <w:rPr>
                <w:rStyle w:val="row-content-rich-text"/>
              </w:rPr>
              <w:t xml:space="preserve"> Staphylococcus aureus </w:t>
            </w:r>
            <w:r>
              <w:rPr>
                <w:rStyle w:val="row-content-rich-text"/>
                <w:i/>
              </w:rPr>
              <w:t xml:space="preserve">bacteraemia in Australian public hospitals</w:t>
            </w:r>
            <w:r>
              <w:rPr>
                <w:rStyle w:val="row-content-rich-text"/>
              </w:rPr>
              <w:t xml:space="preserve"> (AIHW 2013). Due to changes in the performance indicator specification, they are not comparable with the data published in the </w:t>
            </w:r>
            <w:r>
              <w:rPr>
                <w:rStyle w:val="row-content-rich-text"/>
                <w:i/>
              </w:rPr>
              <w:t xml:space="preserve">Australian hospital statistics 2010–11:</w:t>
            </w:r>
            <w:r>
              <w:rPr>
                <w:rStyle w:val="row-content-rich-text"/>
              </w:rPr>
              <w:t xml:space="preserve"> Staphylococcus aureus </w:t>
            </w:r>
            <w:r>
              <w:rPr>
                <w:rStyle w:val="row-content-rich-text"/>
                <w:i/>
              </w:rPr>
              <w:t xml:space="preserve">bacteraemia (SAB) in Australian public hospitals</w:t>
            </w:r>
            <w:r>
              <w:rPr>
                <w:rStyle w:val="row-content-rich-text"/>
              </w:rPr>
              <w:t xml:space="preserve"> (AIHW 2011).</w:t>
            </w:r>
          </w:p>
          <w:p>
            <w:pPr>
              <w:spacing w:after="160"/>
            </w:pPr>
            <w:r>
              <w:rPr>
                <w:rStyle w:val="row-content-rich-text"/>
              </w:rPr>
              <w:t xml:space="preserve">• The patient day and coverage data may be preliminary for some hospitals or jurisdictions.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&lt;http://www.aihw.gov.au/&gt;.</w:t>
            </w:r>
          </w:p>
          <w:p>
            <w:pPr>
              <w:spacing w:after="160"/>
            </w:pPr>
            <w:r>
              <w:rPr>
                <w:rStyle w:val="row-content-rich-text"/>
              </w:rPr>
              <w:t xml:space="preserve">Data for the NSABDC were supplied to the AIHW by state and territory health authorities for the purpose of reporting against the NHA performance benchmark and performance indicator ‘Healthcare-associated infections’ and for reporting by the National Health Performance Authority (NHPA).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 Data are provided annually by state and territory health authorities. The original timetable was for states and territories to provide the data by 24 August 2012. States and territories provided the data to the AIHW by November 2012. The data were published in January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The AIHW publishes data from the NSABDC annually in the </w:t>
            </w:r>
            <w:r>
              <w:rPr>
                <w:rStyle w:val="row-content-rich-text"/>
                <w:i/>
              </w:rPr>
              <w:t xml:space="preserve">Australian hospital statistics:</w:t>
            </w:r>
            <w:r>
              <w:rPr>
                <w:rStyle w:val="row-content-rich-text"/>
              </w:rPr>
              <w:t xml:space="preserve"> Staphylococcus aureus</w:t>
            </w:r>
            <w:r>
              <w:rPr>
                <w:rStyle w:val="row-content-rich-text"/>
                <w:i/>
              </w:rPr>
              <w:t xml:space="preserve"> bacteraemia in Australian public hospitals</w:t>
            </w:r>
            <w:r>
              <w:rPr>
                <w:rStyle w:val="row-content-rich-text"/>
              </w:rPr>
              <w:t xml:space="preserve"> series. These reports may be accessed on the AIHW website: &lt;http://www.aihw.gov.au/hospitals/&gt;.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pPr>
              <w:spacing w:after="160"/>
            </w:pPr>
            <w:r>
              <w:rPr>
                <w:rStyle w:val="row-content-rich-text"/>
              </w:rPr>
              <w:t xml:space="preserve">&lt;/content/index.phtml/itemId/181162&gt;.</w:t>
            </w:r>
          </w:p>
          <w:p>
            <w:pPr>
              <w:spacing w:after="160"/>
            </w:pPr>
            <w:r>
              <w:rPr>
                <w:rStyle w:val="row-content-rich-text"/>
              </w:rPr>
              <w:t xml:space="preserve">At time of publication, the NHA performance indicator specification had yet to be released on METeOR.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public hospitals.</w:t>
            </w:r>
          </w:p>
          <w:p>
            <w:pPr/>
            <w:r>
              <w:rPr>
                <w:rStyle w:val="row-content-rich-text"/>
              </w:rPr>
              <w:t xml:space="preserve">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The arrangements for the collection of data by hospitals and the reporting to state and territory health authorities may vary among the jurisdictions.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w:t>
            </w:r>
          </w:p>
          <w:p>
            <w:pPr>
              <w:spacing w:after="160"/>
            </w:pPr>
            <w:r>
              <w:rPr>
                <w:rStyle w:val="row-content-rich-text"/>
              </w:rPr>
              <w:t xml:space="preserve">There may be imprecise exclusion of some SAB cases due to the inherent difficulties in determining the origins of SAB episodes, such as those originating from private hospitals and non-hospital settings. However, it is likely that the number of cases incorrectly included or excluded would be small.</w:t>
            </w:r>
          </w:p>
          <w:p>
            <w:pPr/>
            <w:r>
              <w:rPr>
                <w:rStyle w:val="row-content-rich-text"/>
              </w:rPr>
              <w:t xml:space="preserve">The patient day data may be preliminary for some hospitals or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for 2008–09 in the 2010 COAG Reform Council </w:t>
            </w:r>
            <w:r>
              <w:rPr>
                <w:rStyle w:val="row-content-rich-text"/>
                <w:i/>
              </w:rPr>
              <w:t xml:space="preserve">National Agreement performance information 2008-09 </w:t>
            </w:r>
            <w:r>
              <w:rPr>
                <w:rStyle w:val="row-content-rich-text"/>
              </w:rPr>
              <w:t xml:space="preserve">(SCRGSP 2009). The 2008–09 data were provided by five jurisdictions only and before the development of an agreed national definition of a case of SAB. These data were limited to principal referral and large hospitals only. For these reasons, 2008–09 data are not comparable with those reported subsequently, with the exception of data for Tasmania.</w:t>
            </w:r>
          </w:p>
          <w:p>
            <w:pPr>
              <w:spacing w:after="160"/>
            </w:pPr>
            <w:r>
              <w:rPr>
                <w:rStyle w:val="row-content-rich-text"/>
              </w:rPr>
              <w:t xml:space="preserve">NSABDC data for 2009–10 were presented in the 2011 COAG Reform Council </w:t>
            </w:r>
            <w:r>
              <w:rPr>
                <w:rStyle w:val="row-content-rich-text"/>
                <w:i/>
              </w:rPr>
              <w:t xml:space="preserve">National Healthcare Agreement: performance report for 2009–10</w:t>
            </w:r>
            <w:r>
              <w:rPr>
                <w:rStyle w:val="row-content-rich-text"/>
              </w:rPr>
              <w:t xml:space="preserve"> (CRC 2011). New South Wales used a definition of SAB that differed from the national definition.</w:t>
            </w:r>
          </w:p>
          <w:p>
            <w:pPr>
              <w:spacing w:after="160"/>
            </w:pPr>
            <w:r>
              <w:rPr>
                <w:rStyle w:val="row-content-rich-text"/>
              </w:rPr>
              <w:t xml:space="preserve">NSABDC data for 2010–11 were presented in </w:t>
            </w:r>
            <w:r>
              <w:rPr>
                <w:rStyle w:val="row-content-rich-text"/>
                <w:i/>
              </w:rPr>
              <w:t xml:space="preserve">Australian hospital statistics 2010–2011:</w:t>
            </w:r>
            <w:r>
              <w:rPr>
                <w:rStyle w:val="row-content-rich-text"/>
              </w:rPr>
              <w:t xml:space="preserve"> Staphylococcus aureus</w:t>
            </w:r>
            <w:r>
              <w:rPr>
                <w:rStyle w:val="row-content-rich-text"/>
                <w:i/>
              </w:rPr>
              <w:t xml:space="preserve"> bacteraemia in Australian public hospitals</w:t>
            </w:r>
            <w:r>
              <w:rPr>
                <w:rStyle w:val="row-content-rich-text"/>
              </w:rPr>
              <w:t xml:space="preserve"> (AIHW 2011), the 2012 COAG Reform Council</w:t>
            </w:r>
            <w:r>
              <w:rPr>
                <w:rStyle w:val="row-content-rich-text"/>
                <w:i/>
              </w:rPr>
              <w:t xml:space="preserve"> National Healthcare Agreement: performance report for 2010–11</w:t>
            </w:r>
            <w:r>
              <w:rPr>
                <w:rStyle w:val="row-content-rich-text"/>
              </w:rPr>
              <w:t xml:space="preserve"> (CRC 2012) and the </w:t>
            </w:r>
            <w:r>
              <w:rPr>
                <w:rStyle w:val="row-content-rich-text"/>
                <w:i/>
              </w:rPr>
              <w:t xml:space="preserve">MyHospitals</w:t>
            </w:r>
            <w:r>
              <w:rPr>
                <w:rStyle w:val="row-content-rich-text"/>
              </w:rPr>
              <w:t xml:space="preserve"> website.</w:t>
            </w:r>
          </w:p>
          <w:p>
            <w:pPr>
              <w:spacing w:after="160"/>
            </w:pPr>
            <w:r>
              <w:rPr>
                <w:rStyle w:val="row-content-rich-text"/>
              </w:rPr>
              <w:t xml:space="preserve">Due to the changes in the performance indicator specification, the data for 2011–12 are only comparable with the revised data from 2010–11. However, data for Queensland for 2010–11 includes only patients aged 14 and over, however, for 2011–12 all age groups are included.</w:t>
            </w:r>
          </w:p>
          <w:p>
            <w:pPr>
              <w:spacing w:after="160"/>
            </w:pPr>
            <w:r>
              <w:rPr>
                <w:rStyle w:val="row-content-rich-text"/>
              </w:rPr>
              <w:t xml:space="preserve">These revised data for 2010-11 cannot be directly compared with the 2010-11 rates published in previous COAG Reform Council publications or </w:t>
            </w:r>
            <w:r>
              <w:rPr>
                <w:rStyle w:val="row-content-rich-text"/>
                <w:i/>
              </w:rPr>
              <w:t xml:space="preserve">Australian hospital statistics 2010–11:</w:t>
            </w:r>
            <w:r>
              <w:rPr>
                <w:rStyle w:val="row-content-rich-text"/>
              </w:rPr>
              <w:t xml:space="preserve"> Staphylococcus aureus</w:t>
            </w:r>
            <w:r>
              <w:rPr>
                <w:rStyle w:val="row-content-rich-text"/>
                <w:i/>
              </w:rPr>
              <w:t xml:space="preserve"> bacteraemia in Australian public hospitals</w:t>
            </w:r>
            <w:r>
              <w:rPr>
                <w:rStyle w:val="row-content-rich-text"/>
              </w:rPr>
              <w:t xml:space="preserve"> (AIHW 2011), or with the data currently published on the </w:t>
            </w:r>
            <w:r>
              <w:rPr>
                <w:rStyle w:val="row-content-rich-text"/>
                <w:i/>
              </w:rPr>
              <w:t xml:space="preserve">MyHospitals</w:t>
            </w:r>
            <w:r>
              <w:rPr>
                <w:rStyle w:val="row-content-rich-text"/>
              </w:rPr>
              <w:t xml:space="preserve"> website.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e011c186be4e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0cc59dd1584cd2">
              <w:r>
                <w:rPr>
                  <w:rStyle w:val="Hyperlink"/>
                </w:rPr>
                <w:t xml:space="preserve">National Staphylococcus aureus Bacteraemia Data Collection, 2015-16: Quality Statement</w:t>
              </w:r>
            </w:hyperlink>
          </w:p>
          <w:p>
            <w:pPr>
              <w:pStyle w:val="registration-status"/>
              <w:spacing w:before="0" w:after="0"/>
            </w:pPr>
            <w:hyperlink w:history="true" r:id="Rf3dd7d22ca3947e0">
              <w:r>
                <w:rPr>
                  <w:rStyle w:val="Hyperlink"/>
                  <w:color w:val="244061"/>
                </w:rPr>
                <w:t xml:space="preserve">AIHW Data Quality Statements</w:t>
              </w:r>
            </w:hyperlink>
            <w:r>
              <w:rPr>
                <w:rStyle w:val="row-content"/>
                <w:color w:val="244061"/>
              </w:rPr>
              <w:t xml:space="preserve">, Superseded 15/12/2017</w:t>
            </w:r>
          </w:p>
          <w:p>
            <w:r>
              <w:br/>
            </w:r>
          </w:p>
        </w:tc>
      </w:tr>
    </w:tbl>
    <w:p>
      <w:r>
        <w:br/>
      </w:r>
    </w:p>
    <w:sectPr>
      <w:footerReference xmlns:r="http://schemas.openxmlformats.org/officeDocument/2006/relationships" w:type="default" r:id="R8f2d6ab4308e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46da5a44e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d6ab4308e438b" /><Relationship Type="http://schemas.openxmlformats.org/officeDocument/2006/relationships/header" Target="/word/header1.xml" Id="Rbbc35ad12fe04b3f" /><Relationship Type="http://schemas.openxmlformats.org/officeDocument/2006/relationships/settings" Target="/word/settings.xml" Id="Rd7da273e72bd4dca" /><Relationship Type="http://schemas.openxmlformats.org/officeDocument/2006/relationships/styles" Target="/word/styles.xml" Id="R19ea05c8520d447a" /><Relationship Type="http://schemas.openxmlformats.org/officeDocument/2006/relationships/hyperlink" Target="https://meteor.aihw.gov.au/RegistrationAuthority/5" TargetMode="External" Id="Rcd392e79106846b0" /><Relationship Type="http://schemas.openxmlformats.org/officeDocument/2006/relationships/hyperlink" Target="https://meteor.aihw.gov.au/content/246013" TargetMode="External" Id="R7fe011c186be4e36" /><Relationship Type="http://schemas.openxmlformats.org/officeDocument/2006/relationships/hyperlink" Target="https://meteor.aihw.gov.au/content/663249" TargetMode="External" Id="R4a0cc59dd1584cd2" /><Relationship Type="http://schemas.openxmlformats.org/officeDocument/2006/relationships/hyperlink" Target="https://meteor.aihw.gov.au/RegistrationAuthority/5" TargetMode="External" Id="Rf3dd7d22ca3947e0" /></Relationships>
</file>

<file path=word/_rels/header1.xml.rels>&#65279;<?xml version="1.0" encoding="utf-8"?><Relationships xmlns="http://schemas.openxmlformats.org/package/2006/relationships"><Relationship Type="http://schemas.openxmlformats.org/officeDocument/2006/relationships/image" Target="/media/image.png" Id="Ra8e46da5a44e4719" /></Relationships>
</file>