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8cbeaddb0b4cb1"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2011: National Health Workforce Data Set, 2011;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2011: National Health Workforce Data Set,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510913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2b5e8281b44cd">
              <w:r>
                <w:rPr>
                  <w:rStyle w:val="Hyperlink"/>
                  <w:color w:val="244061"/>
                </w:rPr>
                <w:t xml:space="preserve">AIHW Data Quality Statements</w:t>
              </w:r>
            </w:hyperlink>
            <w:r>
              <w:rPr>
                <w:rStyle w:val="row-content"/>
                <w:color w:val="244061"/>
              </w:rPr>
              <w:t xml:space="preserve">, Standard 24/01/2013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2011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second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areas from previous years, but is now nationally consistent. The NHWDS: medical practitioner 2011 is also more complete than the NHWDS: medical practitioner 2010.</w:t>
            </w:r>
          </w:p>
          <w:p>
            <w:pPr>
              <w:spacing w:after="160"/>
            </w:pPr>
            <w:r>
              <w:rPr>
                <w:rStyle w:val="row-content-rich-text"/>
              </w:rPr>
              <w:t xml:space="preserve">The major issues with data quality for the NHWDS: medical practitioner 2011 include:</w:t>
            </w:r>
          </w:p>
          <w:p>
            <w:pPr>
              <w:pStyle w:val="ListParagraph"/>
              <w:numPr>
                <w:ilvl w:val="0"/>
                <w:numId w:val="2"/>
              </w:numPr>
            </w:pPr>
            <w:r>
              <w:rPr>
                <w:rStyle w:val="row-content-rich-text"/>
              </w:rPr>
              <w:t xml:space="preserve"> The data are not directly comparable to those collected in the previous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the </w:t>
            </w:r>
            <w:r>
              <w:rPr>
                <w:rStyle w:val="row-content-rich-text"/>
                <w:i/>
              </w:rPr>
              <w:t xml:space="preserve">Medical workforce 2010</w:t>
            </w:r>
            <w:r>
              <w:rPr>
                <w:rStyle w:val="row-content-rich-text"/>
              </w:rPr>
              <w:t xml:space="preserve"> publication, were found to be under-enumerated, so comparisons should be made with caution. The NHWDS: medical practitioner 2010 data have been revised and included in this publication.</w:t>
            </w:r>
          </w:p>
          <w:p>
            <w:pPr>
              <w:pStyle w:val="ListParagraph"/>
              <w:numPr>
                <w:ilvl w:val="0"/>
                <w:numId w:val="2"/>
              </w:numPr>
            </w:pPr>
            <w:r>
              <w:rPr>
                <w:rStyle w:val="row-content-rich-text"/>
              </w:rPr>
              <w:t xml:space="preserve">The NHWDS: medical practitioner 2010 did not include Queensland and Western Australia for tables related to employed practitioners, so comparisons between years should be made with caution. These groups were excluded from the data due to non-alignment of renewal cycle in the transition to the National Scheme, and for Western Australia, the later date of commencement of the National Scheme.</w:t>
            </w:r>
          </w:p>
          <w:p>
            <w:pPr>
              <w:spacing w:after="160"/>
            </w:pPr>
            <w:r>
              <w:rPr>
                <w:rStyle w:val="row-content-rich-text"/>
              </w:rPr>
              <w:t xml:space="preserve">Description</w:t>
            </w:r>
          </w:p>
          <w:p>
            <w:pPr>
              <w:spacing w:after="160"/>
            </w:pPr>
            <w:r>
              <w:rPr>
                <w:rStyle w:val="row-content-rich-text"/>
              </w:rPr>
              <w:t xml:space="preserve">The NHWDS: medical practitioner 2011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w:t>
            </w:r>
          </w:p>
          <w:p>
            <w:pPr>
              <w:spacing w:after="160"/>
            </w:pPr>
            <w:r>
              <w:rPr>
                <w:rStyle w:val="row-content-rich-text"/>
              </w:rPr>
              <w:t xml:space="preserve"> The majority of medical practitioners are due to renew their registrations on 30 September each year. Limited and provisional registration renewals occur on an anniversary basis. This is an individual practitioner anniversary of when the practitioner last registered/renewed. Apart from limited and provisional registrations, medical practitioners can renew their registration either online via the AHPRA website or by using a paper form provided by the AHPRA. For initial registration, medical practitioners must use a paper form and provide supplementary supporting documentation. Limited and provisional registration renewals are done using paper forms. This information is referred to as 'registration data'. Data collected include demographic information such as age, sex, country of birth; and details of health qualification(s) and registration status (see </w:t>
            </w:r>
            <w:hyperlink w:history="true" r:id="Rd9b63ea6f42b4980">
              <w:r>
                <w:rPr>
                  <w:rStyle w:val="Hyperlink"/>
                </w:rPr>
                <w:t xml:space="preserve">http://www.medicalboard.gov.au/Registration/Types.aspx</w:t>
              </w:r>
            </w:hyperlink>
            <w:r>
              <w:rPr>
                <w:rStyle w:val="row-content-rich-text"/>
              </w:rPr>
              <w:t xml:space="preserve">, select link to </w:t>
            </w:r>
            <w:r>
              <w:rPr>
                <w:rStyle w:val="row-content-rich-text"/>
                <w:i/>
              </w:rPr>
              <w:t xml:space="preserve">Registration type</w:t>
            </w:r>
            <w:r>
              <w:rPr>
                <w:rStyle w:val="row-content-rich-text"/>
              </w:rPr>
              <w:t xml:space="preserve"> then </w:t>
            </w:r>
            <w:r>
              <w:rPr>
                <w:rStyle w:val="row-content-rich-text"/>
                <w:i/>
              </w:rPr>
              <w:t xml:space="preserve">Registration form</w:t>
            </w:r>
            <w:r>
              <w:rPr>
                <w:rStyle w:val="row-content-rich-text"/>
              </w:rPr>
              <w:t xml:space="preserve">).</w:t>
            </w:r>
          </w:p>
          <w:p>
            <w:r>
              <w:br/>
            </w: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w:t>
            </w:r>
            <w:hyperlink w:history="true" r:id="R321aae882ee64244">
              <w:r>
                <w:rPr>
                  <w:rStyle w:val="Hyperlink"/>
                </w:rPr>
                <w:t xml:space="preserve">http://www.aihw.gov.au/workforce-publications/</w:t>
              </w:r>
            </w:hyperlink>
            <w:r>
              <w:rPr>
                <w:rStyle w:val="row-content-rich-text"/>
              </w:rPr>
              <w:t xml:space="preserve"> (select link to Medical </w:t>
            </w:r>
            <w:r>
              <w:rPr>
                <w:rStyle w:val="row-content-rich-text"/>
                <w:i/>
              </w:rPr>
              <w:t xml:space="preserve">workforce 2011</w:t>
            </w:r>
            <w:r>
              <w:rPr>
                <w:rStyle w:val="row-content-rich-text"/>
              </w:rPr>
              <w:t xml:space="preserve">)). AHPRA stores both the online registration data and the survey information in separate databases. They then send these two data sets to AIHW, where they are merged into a de-identified national data set.</w:t>
            </w:r>
          </w:p>
          <w:p>
            <w:r>
              <w:br/>
            </w: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r>
              <w:br/>
            </w: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44fcc5297ac44e2c">
              <w:r>
                <w:rPr>
                  <w:rStyle w:val="Hyperlink"/>
                </w:rPr>
                <w:t xml:space="preserve">http://www.aihw.gov.au</w:t>
              </w:r>
            </w:hyperlink>
            <w:r>
              <w:rPr>
                <w:rStyle w:val="row-content-rich-text"/>
              </w:rPr>
              <w:t xml:space="preserve">.</w:t>
            </w:r>
          </w:p>
          <w:p>
            <w:r>
              <w:br/>
            </w: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AIHW is the data custodian of the NHWDS: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r>
              <w:br/>
            </w: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the registrant is renewed on the anniversary of their commencement. Limited and provisional registrations renewals are given paper forms only. These responses are included with the regular survey respondents.</w:t>
            </w:r>
          </w:p>
          <w:p>
            <w:r>
              <w:br/>
            </w:r>
            <w:r>
              <w:rPr>
                <w:rStyle w:val="row-content-rich-text"/>
              </w:rPr>
              <w:t xml:space="preserve">Due to significant delays with release of data from the new national registration system, complete and final data were provided to AIHW much later than originally scheduled. Initial data provided needed joint reviews by AHPRA, AIHW and HWA to manage the range of considerations and data quality issues described in the </w:t>
            </w:r>
            <w:r>
              <w:rPr>
                <w:rStyle w:val="row-content-rich-text"/>
                <w:i/>
              </w:rPr>
              <w:t xml:space="preserve">Medical workforce 2011</w:t>
            </w:r>
            <w:r>
              <w:rPr>
                <w:rStyle w:val="row-content-rich-text"/>
              </w:rPr>
              <w:t xml:space="preserve"> publication.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AIHW expected to receive both the registration and workforce survey data simultaneously at the end of December 2011. Due to the factors above, the AIHW received complete useable registration and workforce survey data from AHPRA in October 2012. AHPRA have indicated that future data provision is anticipated to be timely and provided six weeks from the close of registration on 30 September.</w:t>
            </w:r>
          </w:p>
          <w:p>
            <w:r>
              <w:br/>
            </w:r>
            <w:r>
              <w:rPr>
                <w:rStyle w:val="row-content-rich-text"/>
              </w:rPr>
              <w:t xml:space="preserve">Delays in processing and reporting on the earlier NHWDS: medical practitioners 2010 and NHWDS: nurses and midwives 2011 also contributed to AIHW delays in reporting the 2011 data and releasing the </w:t>
            </w:r>
            <w:r>
              <w:rPr>
                <w:rStyle w:val="row-content-rich-text"/>
                <w:i/>
              </w:rPr>
              <w:t xml:space="preserve">Medical workforce 2011</w:t>
            </w:r>
            <w:r>
              <w:rPr>
                <w:rStyle w:val="row-content-rich-text"/>
              </w:rPr>
              <w:t xml:space="preserve"> report.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2011 are published in the </w:t>
            </w:r>
            <w:r>
              <w:rPr>
                <w:rStyle w:val="row-content-rich-text"/>
                <w:i/>
              </w:rPr>
              <w:t xml:space="preserve">Medical workforce 2011</w:t>
            </w:r>
            <w:r>
              <w:rPr>
                <w:rStyle w:val="row-content-rich-text"/>
              </w:rPr>
              <w:t xml:space="preserve"> report. The report, workforce survey questionnaire, user guide to the data set and additional detailed tables are available on the AIHW website at </w:t>
            </w:r>
            <w:hyperlink w:history="true" r:id="Rf8a39df6574d412d">
              <w:r>
                <w:rPr>
                  <w:rStyle w:val="Hyperlink"/>
                </w:rPr>
                <w:t xml:space="preserve">http://www.aihw.gov.au/workforce-publications/</w:t>
              </w:r>
            </w:hyperlink>
            <w:r>
              <w:rPr>
                <w:rStyle w:val="row-content-rich-text"/>
              </w:rPr>
              <w:t xml:space="preserve"> (select link to </w:t>
            </w:r>
            <w:r>
              <w:rPr>
                <w:rStyle w:val="row-content-rich-text"/>
                <w:i/>
              </w:rPr>
              <w:t xml:space="preserve">Medical workforce 2011</w:t>
            </w:r>
            <w:r>
              <w:rPr>
                <w:rStyle w:val="row-content-rich-text"/>
              </w:rPr>
              <w:t xml:space="preserve">).</w:t>
            </w:r>
          </w:p>
          <w:p>
            <w:pPr/>
            <w:r>
              <w:rPr>
                <w:rStyle w:val="row-content-rich-text"/>
              </w:rPr>
              <w:t xml:space="preserve">Users can request data not available online or in reports via the Communications, Media and Marketing Unit on (02) 6244 1032 or via email to </w:t>
            </w:r>
            <w:hyperlink w:history="true" r:id="Rf98e4a6e37124b29">
              <w:r>
                <w:rPr>
                  <w:rStyle w:val="Hyperlink"/>
                </w:rPr>
                <w:t xml:space="preserve">info@aihw.gov.au</w:t>
              </w:r>
            </w:hyperlink>
            <w:r>
              <w:rPr>
                <w:rStyle w:val="row-content-rich-text"/>
              </w:rPr>
              <w:t xml:space="preserve">. Requests that take longer than half an hour to compile are charged for on a cost-recovery basis. Access to the master unit record file may be requested through the AIHW Ethics Committee.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2011 may be found in Appendix A of the Medical Workforce 2011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2011 contains registration details of all registered medical practitioners in Australia at 30 September 2011.</w:t>
            </w:r>
            <w:r>
              <w:br/>
            </w:r>
            <w:r>
              <w:rPr>
                <w:rStyle w:val="row-content-rich-text"/>
              </w:rPr>
              <w:t xml:space="preserve"> </w:t>
            </w:r>
          </w:p>
          <w:p>
            <w:pPr>
              <w:spacing w:after="160"/>
            </w:pPr>
            <w:r>
              <w:rPr>
                <w:rStyle w:val="row-content-rich-text"/>
              </w:rPr>
              <w:t xml:space="preserve">edical practitioners are required by law to be registered with the Medical Board of Australia and must complete the formal registration renewal form(s) to practise in Australia. This is the compulsory component of the renewal process.</w:t>
            </w:r>
          </w:p>
          <w:p>
            <w:r>
              <w:br/>
            </w: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2011 contains registration details of all registered medical practitioners in Australia at 30 September 2011.</w:t>
            </w:r>
          </w:p>
          <w:p>
            <w:r>
              <w:br/>
            </w:r>
            <w:r>
              <w:rPr>
                <w:rStyle w:val="row-content-rich-text"/>
              </w:rPr>
              <w:t xml:space="preserve">The data set also contains workforce information for registered medical practitioners who completed the Medical Workforce Survey. The overall response rate to the 2011 survey was 85.3%. That is, the number of responses to the survey represented 85.3% of registered medical practitioners. Of these responses, 84.7% completed the survey online and 15.3% used the paper form.</w:t>
            </w:r>
          </w:p>
          <w:p>
            <w:r>
              <w:br/>
            </w:r>
            <w:r>
              <w:rPr>
                <w:rStyle w:val="row-content-rich-text"/>
              </w:rPr>
              <w:t xml:space="preserve">Response rates for 2011 are not directly comparable with prior years because the previous jurisdiction-based data collection used to collect information on the workforce characteristics of medical practitioners was replaced with a single data collection as part of the national registration scheme introduced on 1 July 2010.</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collected as part of the registration and renewal process. However, the data for some of these items are incomplete due to the data being migrated from previous jurisdictional registration systems.</w:t>
            </w:r>
            <w:r>
              <w:br/>
            </w:r>
            <w:r>
              <w:rPr>
                <w:rStyle w:val="row-content-rich-text"/>
              </w:rPr>
              <w:t xml:space="preserve">There were a number of data items which had higher rates of incomplete responses. This included date of birth, sex and state and territory of principal practice, which are items used in the survey estimation process. Missing values of date of birth and sex were imputed. Many medical practitioners who reside overseas could not be identified by the registration process. They have been included with practitioners whose state or territory of principal practice could not be determined. Therefore, the missing values cannot be imputed, and thus affected the weighting method. Some data items had unexpected categories, for example registration type of ‘General (Teaching and Assessing)’.</w:t>
            </w:r>
          </w:p>
          <w:p>
            <w:pPr>
              <w:spacing w:after="160"/>
            </w:pPr>
            <w:r>
              <w:rPr>
                <w:rStyle w:val="row-content-rich-text"/>
              </w:rPr>
              <w:t xml:space="preserve">The NRAS allows a medical practitioner to record more than one specialty, with up to seven specialties recorded in 2011. However, the National Law does not require or enable practitioners to identify their primary speciality. The non-identification of a specialist's main sub-specialty of practice also means headcounts are not possible. To address this issue, AIHW, in cooperation with HWA, have allocated a primary specialty based on the recorded set of primary specialties held by each medical practitioner.</w:t>
            </w:r>
          </w:p>
          <w:p>
            <w:r>
              <w:br/>
            </w:r>
            <w:r>
              <w:rPr>
                <w:rStyle w:val="row-content-rich-text"/>
              </w:rPr>
              <w:t xml:space="preserve">Some data items such as citizenship and residency status contain only migrated data and because they are not required for registration purposes may not be updated.</w:t>
            </w:r>
          </w:p>
          <w:p>
            <w:r>
              <w:br/>
            </w:r>
            <w:r>
              <w:rPr>
                <w:rStyle w:val="row-content-rich-text"/>
              </w:rPr>
              <w:t xml:space="preserve"> For a large number of practitioners, country of birth and country of initial qualification data had responses that could not be mapped to the Standard Australian Classification of Countries (SACC). These records were coded to not stated or inadequately described.</w:t>
            </w:r>
            <w:r>
              <w:br/>
            </w:r>
            <w:r>
              <w:rPr>
                <w:rStyle w:val="row-content-rich-text"/>
              </w:rPr>
              <w:t xml:space="preserve">A small number of invalid values and formats for date of birth and year of initial qualification appeared in the registration data collected by the NRAS. For example, system dates such as 1 January 1900.</w:t>
            </w:r>
          </w:p>
          <w:p>
            <w:pPr>
              <w:spacing w:after="160"/>
            </w:pPr>
            <w:r>
              <w:rPr>
                <w:rStyle w:val="row-content-rich-text"/>
              </w:rPr>
              <w:t xml:space="preserve">Workforce Survey 2011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2011 design</w:t>
            </w:r>
          </w:p>
          <w:p>
            <w:pPr>
              <w:spacing w:after="160"/>
            </w:pPr>
            <w:r>
              <w:rPr>
                <w:rStyle w:val="row-content-rich-text"/>
              </w:rPr>
              <w:t xml:space="preserve">In 2011,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r>
              <w:br/>
            </w:r>
            <w:r>
              <w:rPr>
                <w:rStyle w:val="row-content-rich-text"/>
              </w:rPr>
              <w:t xml:space="preserve">The order of the response categories for the 'Reason not working in medicine in Australia' question appears to be an issue. The question has ‘Retired from regular work’ after ‘Not working in paid employment at all’ which may not be logical as practitioners may be retired but still work irregularly (for example, as an occasional locum). On this basis, the category ‘Retired from regular work’ should appear before ‘Not working in paid employment at all’. The issue with the order in the 2011 survey questionnaire is that it may lead to an undercount of those retired from regular work and an over-representation of those not working in paid employment.</w:t>
            </w:r>
          </w:p>
          <w:p>
            <w:r>
              <w:br/>
            </w:r>
            <w:r>
              <w:rPr>
                <w:rStyle w:val="row-content-rich-text"/>
              </w:rPr>
              <w:t xml:space="preserve">Variation between the online and paper surveys has provided additional data quality issues for a number of questions. For example, the State of main job included the category ‘Other territories’ on the paper form while the same response category in the online form was labelled ‘Other’. The data showed a large number in the ‘Other’ category captured in the online method, which was not similarly found in the paper responses. In addition, state/territory of principal practice and residence data items do not include the category ‘Other territories’ or ‘Other’.</w:t>
            </w:r>
          </w:p>
          <w:p>
            <w:r>
              <w:br/>
            </w:r>
            <w:r>
              <w:rPr>
                <w:rStyle w:val="row-content-rich-text"/>
              </w:rPr>
              <w:t xml:space="preserve">In 2011, the online Medical Workforce Survey did not ask practitioners to answer whether or not they are a temporary resident, but only to enter their visa category number if they self-identify as a temporary resident. However, the paper form asks practitioners to check ‘Yes’ or ‘No’ to the temporary resident question and, depending on the response, either answer or skip the visa category question. The temporary resident status data item is incomplete.</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There were many records where the response to the survey question regarding temporary residency visa was inconsistent with migrated registration data from state and territory medical boards/councils for citizenship and residency status (which themselves were occasionally inconsistent).</w:t>
            </w:r>
          </w:p>
          <w:p>
            <w:r>
              <w:br/>
            </w:r>
            <w:r>
              <w:rPr>
                <w:rStyle w:val="row-content-rich-text"/>
              </w:rPr>
              <w:t xml:space="preserve">In the survey, a number of medical practitioners self-reported the principal area in their main job to be specialist but had no accredited specialty in their registration details or were accredited as general practitioners only. Under the National Law, specialist registration is available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r>
              <w:br/>
            </w:r>
            <w:r>
              <w:rPr>
                <w:rStyle w:val="row-content-rich-text"/>
              </w:rPr>
              <w:t xml:space="preserve">Location of principal practice recorded in the registration data was different from the corresponding details of their main job self-reported by practitioners in the survey. Given that 16.9% more medical practitioners have the Northern Territory as their state of main job in the week before the survey than have it as their principal practice location on the AHPRA database, this probably reflects temporary movement.</w:t>
            </w:r>
          </w:p>
          <w:p>
            <w:r>
              <w:br/>
            </w: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is used in all tables except where otherwise stated.</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2011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overseas postal identifiers. Conversely, suburb of main job information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2011—coherence with previous data</w:t>
            </w:r>
          </w:p>
          <w:p>
            <w:pPr>
              <w:spacing w:after="160"/>
            </w:pPr>
            <w:r>
              <w:rPr>
                <w:rStyle w:val="row-content-rich-text"/>
              </w:rPr>
              <w:t xml:space="preserve">AIHW published </w:t>
            </w:r>
            <w:r>
              <w:rPr>
                <w:rStyle w:val="row-content-rich-text"/>
                <w:i/>
              </w:rPr>
              <w:t xml:space="preserve">Medical workforce 2010</w:t>
            </w:r>
            <w:r>
              <w:rPr>
                <w:rStyle w:val="row-content-rich-text"/>
              </w:rPr>
              <w:t xml:space="preserve"> on 28 March 2012, which was the first release of data derived from the new NRAS.</w:t>
            </w:r>
          </w:p>
          <w:p>
            <w:pPr>
              <w:spacing w:after="160"/>
            </w:pPr>
            <w:r>
              <w:rPr>
                <w:rStyle w:val="row-content-rich-text"/>
              </w:rPr>
              <w:t xml:space="preserve">At this time, it was known and reported that there were issues with the 2010 survey data, especially the lack of data from Queensland and Western Australia. Queensland and Western Australia were subsequently removed from the workforce tables in the 2010 publication, thus comparisons with the 2011 data should be undertaken with caution.</w:t>
            </w:r>
          </w:p>
          <w:p>
            <w:pPr>
              <w:spacing w:after="160"/>
            </w:pPr>
            <w:r>
              <w:rPr>
                <w:rStyle w:val="row-content-rich-text"/>
              </w:rPr>
              <w:t xml:space="preserve">Once the 2011 medical data were supplied, it became apparent that there were large differences between the 2010 and 2011 numbers of registered medical practitioners. When further investigated, this was found to be caused by differences in the way these data were stored and extracted from the AHPRA databases. As a result, the medical data were re-extracted and supplied in October 2012 for both 2010 and 2011 using the same methods.</w:t>
            </w:r>
          </w:p>
          <w:p>
            <w:r>
              <w:br/>
            </w:r>
            <w:r>
              <w:rPr>
                <w:rStyle w:val="row-content-rich-text"/>
              </w:rPr>
              <w:t xml:space="preserve">This revealed an undercount in the originally published 2010 registration data, which was difficult to detect because the 2010 data appeared coherent with previously reported figures, particularly 2009 figures, from the AIHW Labour Force Surveys.</w:t>
            </w:r>
          </w:p>
          <w:p>
            <w:r>
              <w:br/>
            </w:r>
            <w:r>
              <w:rPr>
                <w:rStyle w:val="row-content-rich-text"/>
              </w:rPr>
              <w:t xml:space="preserve">Due to the above issues, this publication makes only minimal comparisons between the 2010 and 2011 data.</w:t>
            </w:r>
          </w:p>
          <w:p>
            <w:r>
              <w:br/>
            </w:r>
            <w:r>
              <w:rPr>
                <w:rStyle w:val="row-content-rich-text"/>
              </w:rPr>
              <w:t xml:space="preserve">Medical labour force data published by the AIHW before the establishment of the NRAS was the result of collated jurisdiction-level occupation-specific surveys. The current survey, Medical Workforce Survey 2010 and 2011 collect similar data items;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r>
              <w:br/>
            </w:r>
            <w:r>
              <w:rPr>
                <w:rStyle w:val="row-content-rich-text"/>
              </w:rPr>
              <w:t xml:space="preserve">The scope and coverage of the Medical Workforce Survey 2011 is also different to that of the previous surveys because in some jurisdictions not all types of registered medical practitioners were sent a survey form.</w:t>
            </w:r>
          </w:p>
          <w:p>
            <w:r>
              <w:br/>
            </w: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r>
              <w:br/>
            </w:r>
            <w:r>
              <w:rPr>
                <w:rStyle w:val="row-content-rich-text"/>
              </w:rPr>
              <w:t xml:space="preserve">Speciality of practice, in 2011,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r>
              <w:br/>
            </w:r>
            <w:r>
              <w:rPr>
                <w:rStyle w:val="row-content-rich-text"/>
              </w:rPr>
              <w:t xml:space="preserve"> </w:t>
            </w:r>
          </w:p>
          <w:p>
            <w:pPr>
              <w:spacing w:after="160"/>
            </w:pPr>
            <w:r>
              <w:rPr>
                <w:rStyle w:val="row-content-rich-text"/>
              </w:rPr>
              <w:t xml:space="preserve">owever, the NRAS does not identify main specialty. There have also been significant changes in the classification of categories of specialty of practice used in the NHWDS: medical practitioners 2011 compared with that used in the previous AIHW Medical Labour Force Survey reports. There are 23 valid legally defined specialties in the NHWDS: medical practitioners 2011 (for example, physician, surgery), while there were over 50 detailed specialties published in the previous AIHW Medical Labour Force Survey reports. Thus, comparison of 2011 specialty data with results from AIHW Medical Labour Force Survey should be treated with caution.</w:t>
            </w:r>
          </w:p>
          <w:p>
            <w:r>
              <w:br/>
            </w:r>
            <w:r>
              <w:rPr>
                <w:rStyle w:val="row-content-rich-text"/>
              </w:rPr>
              <w:t xml:space="preserve">Each medical practitioner may have more than one specialty. The data collected by the NRAS do not identify the primary specialty and therefore a headcount of specialists by specialty of practice is not possible. To overcome this problem, the primary specialty of specialists has been derived using their recorded specialties and information from the AIHW Medical Labour Force Survey 2009.</w:t>
            </w:r>
            <w:r>
              <w:br/>
            </w:r>
            <w:r>
              <w:rPr>
                <w:rStyle w:val="row-content-rich-text"/>
              </w:rPr>
              <w:t xml:space="preserve">Temporary resident status was not collected on a national basis before 2010 in the AIHW Medical Labour Force Survey. Some jurisdictions collected temporary resident status. Visa category number was not collected in prior years.</w:t>
            </w:r>
          </w:p>
          <w:p>
            <w:pPr>
              <w:spacing w:after="160"/>
            </w:pPr>
            <w:r>
              <w:rPr>
                <w:rStyle w:val="row-content-rich-text"/>
              </w:rPr>
              <w:t xml:space="preserve">The three employment-related questions in the Medical Workforce Survey 2011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the additional explanation may have avoided confusion for medical practitioners who worked in medicine during the survey reference week but in a voluntary capacity.</w:t>
            </w:r>
          </w:p>
          <w:p>
            <w:r>
              <w:br/>
            </w:r>
            <w:r>
              <w:rPr>
                <w:rStyle w:val="row-content-rich-text"/>
              </w:rPr>
              <w:t xml:space="preserve">A change in the response options in the question about principal area of main job in medicine from ‘GP/primary care practitioner’ before 2010 to ‘General practitioner (GP)’ may have impacts on the comparability of these responses over time, and time series data should be used with caution. This may have led to the observed increase in responses in the ‘Other clinician’ category.</w:t>
            </w:r>
            <w:r>
              <w:br/>
            </w:r>
            <w:r>
              <w:rPr>
                <w:rStyle w:val="row-content-rich-text"/>
              </w:rPr>
              <w:t xml:space="preserve">Work setting response categories in 2011 are similar to those before 2010. The 2011 categories are more detailed and directed towards service provision; for example, there are three categories of private practice (solo, group and locum) compared with only one available before 2010.</w:t>
            </w:r>
            <w:r>
              <w:br/>
            </w: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2011 and AIHW Labour Force Survey data before 2010 be made with caution.</w:t>
            </w:r>
          </w:p>
          <w:p>
            <w:pPr>
              <w:spacing w:after="160"/>
            </w:pPr>
            <w:r>
              <w:rPr>
                <w:rStyle w:val="row-content-rich-text"/>
              </w:rPr>
              <w:t xml:space="preserve">Workforce Survey 2011—coherence with other data sources</w:t>
            </w:r>
          </w:p>
          <w:p>
            <w:pPr>
              <w:spacing w:after="160"/>
            </w:pPr>
            <w:r>
              <w:rPr>
                <w:rStyle w:val="row-content-rich-text"/>
              </w:rPr>
              <w:t xml:space="preserve">The ABS Census of Population and Housing, conducted every 5 years, is the other main source of data on medical practitioner numbers in Australia. The Census is self-enumerated by respondents and therefore the numbers of people who report their occupation as medical practitioners is not easily comparable with numbers from the NRAS or estimates from the Medical Workforce Survey. The results of the 2011 Census include data on occupations classified using the Australian and New Zealand Standard Classification of Occupations revision 1 (ANZSCO) (ABS 2009). Occupation data are collected for the main job held during the week before Census night.</w:t>
            </w:r>
            <w:r>
              <w:br/>
            </w:r>
            <w:r>
              <w:rPr>
                <w:rStyle w:val="row-content-rich-text"/>
              </w:rPr>
              <w:t xml:space="preserve">The ANZSCO definition of Medical practitioners effectively excludes non-clinicians.</w:t>
            </w:r>
            <w:r>
              <w:br/>
            </w:r>
            <w:r>
              <w:rPr>
                <w:rStyle w:val="row-content-rich-text"/>
              </w:rPr>
              <w:t xml:space="preserve">In 2011 there were 70,229 medical practitioners who self-identified in the 2011 Census of Population and Housing (ABS 2012b). There were 73,980 employed clinicians in the NHWDS: medical practitioners 2011. This is consistent with the differences found the between 2006 census and the earlier AIHW survey.</w:t>
            </w:r>
          </w:p>
          <w:p>
            <w:r>
              <w:br/>
            </w:r>
            <w:r>
              <w:rPr>
                <w:rStyle w:val="row-content-rich-text"/>
              </w:rPr>
              <w:t xml:space="preserve">According to Medicare claims systems 27,639 medical practitioners provided General practice services claimed for on Medicare during to 2010–11 financial year, equivalent to 20,226 full time working equivalents (DoHA 2012a). In the NHWDS: medical practitioners 2011 there were 25,056 general practitioners working on average 39.1 hours in the week before the survey (Table 3.2). There are a number of possible reasons for this difference. Not all activities being undertaken by general practitioners are Medicare billable. In addition, some salaried specialists may be responsible for a small number of general practitioner-type claims on Medicare and no specialist items resulting in them being classed as general practitioners under that system. Thus comparisons between Medicare and NHWDS: medical practitioners data should be made with caution.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7c5def91ae455b">
              <w:r>
                <w:rPr>
                  <w:rStyle w:val="Hyperlink"/>
                </w:rPr>
                <w:t xml:space="preserve">Australian Institute of Health and Welfare</w:t>
              </w:r>
            </w:hyperlink>
          </w:p>
        </w:tc>
      </w:tr>
    </w:tbl>
    <w:p>
      <w:r>
        <w:br/>
      </w:r>
    </w:p>
    <w:sectPr>
      <w:footerReference xmlns:r="http://schemas.openxmlformats.org/officeDocument/2006/relationships" w:type="default" r:id="R6cdc6811ef914a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510913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ebb443ccd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c6811ef914a6d" /><Relationship Type="http://schemas.openxmlformats.org/officeDocument/2006/relationships/header" Target="/word/header1.xml" Id="R5adc48ac6c38477e" /><Relationship Type="http://schemas.openxmlformats.org/officeDocument/2006/relationships/settings" Target="/word/settings.xml" Id="R783378d4bbf049e7" /><Relationship Type="http://schemas.openxmlformats.org/officeDocument/2006/relationships/styles" Target="/word/styles.xml" Id="Rc7ddb4dbc9bf49dc" /><Relationship Type="http://schemas.openxmlformats.org/officeDocument/2006/relationships/hyperlink" Target="https://meteor.aihw.gov.au/RegistrationAuthority/5" TargetMode="External" Id="R2fa2b5e8281b44cd" /><Relationship Type="http://schemas.openxmlformats.org/officeDocument/2006/relationships/numbering" Target="/word/numbering.xml" Id="Rfbb55e62616645b0" /><Relationship Type="http://schemas.openxmlformats.org/officeDocument/2006/relationships/hyperlink" Target="http://www.medicalboard.gov.au/Registration/Types.aspx" TargetMode="External" Id="Rd9b63ea6f42b4980" /><Relationship Type="http://schemas.openxmlformats.org/officeDocument/2006/relationships/hyperlink" Target="http://www.aihw.gov.au/workforce-publications/" TargetMode="External" Id="R321aae882ee64244" /><Relationship Type="http://schemas.openxmlformats.org/officeDocument/2006/relationships/hyperlink" Target="http://www.aihw.gov.au" TargetMode="External" Id="R44fcc5297ac44e2c" /><Relationship Type="http://schemas.openxmlformats.org/officeDocument/2006/relationships/hyperlink" Target="http://www.aihw.gov.au/workforce-publications/" TargetMode="External" Id="Rf8a39df6574d412d" /><Relationship Type="http://schemas.openxmlformats.org/officeDocument/2006/relationships/hyperlink" Target="mailto:info@aihw.gov.au" TargetMode="External" Id="Rf98e4a6e37124b29" /><Relationship Type="http://schemas.openxmlformats.org/officeDocument/2006/relationships/hyperlink" Target="https://meteor.aihw.gov.au/content/246013" TargetMode="External" Id="Rb47c5def91ae455b" /></Relationships>
</file>

<file path=word/_rels/header1.xml.rels>&#65279;<?xml version="1.0" encoding="utf-8"?><Relationships xmlns="http://schemas.openxmlformats.org/package/2006/relationships"><Relationship Type="http://schemas.openxmlformats.org/officeDocument/2006/relationships/image" Target="/media/image.png" Id="Rbaeebb443ccd4770" /></Relationships>
</file>