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a309d6ae94032" /></Relationships>
</file>

<file path=word/document.xml><?xml version="1.0" encoding="utf-8"?>
<w:document xmlns:r="http://schemas.openxmlformats.org/officeDocument/2006/relationships" xmlns:w="http://schemas.openxmlformats.org/wordprocessingml/2006/main">
  <w:body>
    <w:p>
      <w:pPr>
        <w:pStyle w:val="Title"/>
      </w:pPr>
      <w:r>
        <w:t>Service event—type of assistive product received, (AS/NZS ISO 9999:2011) code NN [NN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assistive product received, (AS/NZS ISO 9999:2011) code NN [NN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Goods and equipment received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Goods and equipment received; Assistive product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98ace401e4c5e">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c7f1a1b5f1624ac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assistive product received by a client (by purchase, loan, or gift)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ae382c2cb24786">
              <w:r>
                <w:rPr>
                  <w:rStyle w:val="Hyperlink"/>
                </w:rPr>
                <w:t xml:space="preserve">Service event—type of assistive product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09fd444d104853">
              <w:r>
                <w:rPr>
                  <w:rStyle w:val="Hyperlink"/>
                </w:rPr>
                <w:t xml:space="preserve">Assistive products for persons with disability (AS/NZS ISO 9999:2011) code NN [NN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90d6ba9c08b4cac">
              <w:r>
                <w:rPr>
                  <w:rStyle w:val="Hyperlink"/>
                </w:rPr>
                <w:t xml:space="preserve">AS/NZS ISO 9999:2011 Assistive products for persons with disability—classification and terminology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 [NN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table shows the mapping between the Core Equipment List published by the Disability Policy and Research Working Group and the AS/NZS ISO 9999:2011 classification.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350" w:type="pct"/>
                  <w:vAlign w:val="top"/>
                </w:tcPr>
                <w:p>
                  <w:pPr/>
                  <w:r>
                    <w:rPr>
                      <w:rStyle w:val="row-content-rich-text"/>
                    </w:rPr>
                    <w:t xml:space="preserve">Category</w:t>
                  </w:r>
                </w:p>
              </w:tc>
              <w:tc>
                <w:tcPr>
                  <w:tcW w:w="1650" w:type="pct"/>
                  <w:vAlign w:val="top"/>
                </w:tcPr>
                <w:p>
                  <w:r>
                    <w:t xml:space="preserve">Sub category</w:t>
                  </w:r>
                  <w:r>
                    <w:rPr>
                      <w:vertAlign w:val="superscript"/>
                    </w:rPr>
                    <w:t xml:space="preserve"> </w:t>
                  </w:r>
                </w:p>
              </w:tc>
              <w:tc>
                <w:tcPr>
                  <w:tcW w:w="2500" w:type="pct"/>
                  <w:vAlign w:val="top"/>
                </w:tcPr>
                <w:p>
                  <w:r>
                    <w:t xml:space="preserve">Sub category description</w:t>
                  </w:r>
                </w:p>
              </w:tc>
              <w:tc>
                <w:tcPr>
                  <w:tcW w:w="400" w:type="pct"/>
                  <w:vAlign w:val="top"/>
                </w:tcPr>
                <w:p>
                  <w:r>
                    <w:t xml:space="preserve">AS/NZS ISO 9999:2011 code</w:t>
                  </w:r>
                </w:p>
              </w:tc>
            </w:tr>
            <w:tr>
              <w:trPr/>
              <w:tc>
                <w:tcPr>
                  <w:tcW w:w="350" w:type="pct"/>
                  <w:vMerge w:val="restart"/>
                  <w:vAlign w:val="top"/>
                </w:tcPr>
                <w:p>
                  <w:r>
                    <w:t xml:space="preserve">Aids for daily living (includes personal hygiene)</w:t>
                  </w:r>
                </w:p>
              </w:tc>
              <w:tc>
                <w:tcPr>
                  <w:tcW w:w="1650" w:type="pct"/>
                  <w:gridSpan w:val="3"/>
                  <w:vAlign w:val="top"/>
                </w:tcPr>
                <w:p>
                  <w:r>
                    <w:t xml:space="preserve">Assistive products for personal care and protection</w:t>
                  </w:r>
                </w:p>
              </w:tc>
            </w:tr>
            <w:tr>
              <w:trPr/>
              <w:tc>
                <w:tcPr>
                  <w:tcW w:w="350" w:type="pct"/>
                  <w:vMerge/>
                </w:tcPr>
                <w:p/>
              </w:tc>
              <w:tc>
                <w:tcPr>
                  <w:tcW w:w="1650" w:type="pct"/>
                  <w:vAlign w:val="top"/>
                </w:tcPr>
                <w:p>
                  <w:r>
                    <w:t xml:space="preserve">Bath/shower chairs (with and without wheels), bath boards, stools, backrests and seats.</w:t>
                  </w:r>
                </w:p>
              </w:tc>
              <w:tc>
                <w:tcPr>
                  <w:tcW w:w="2500" w:type="pct"/>
                  <w:vAlign w:val="top"/>
                </w:tcPr>
                <w:p>
                  <w:r>
                    <w:t xml:space="preserve">Devices for supporting sitting during bathing or showering</w:t>
                  </w:r>
                </w:p>
              </w:tc>
              <w:tc>
                <w:tcPr>
                  <w:tcW w:w="400" w:type="pct"/>
                  <w:vAlign w:val="top"/>
                </w:tcPr>
                <w:p>
                  <w:r>
                    <w:t xml:space="preserve">09 33 03</w:t>
                  </w:r>
                </w:p>
              </w:tc>
            </w:tr>
            <w:tr>
              <w:trPr/>
              <w:tc>
                <w:tcPr>
                  <w:tcW w:w="350" w:type="pct"/>
                  <w:vMerge/>
                </w:tcPr>
                <w:p/>
              </w:tc>
              <w:tc>
                <w:tcPr>
                  <w:tcW w:w="1650" w:type="pct"/>
                  <w:vAlign w:val="top"/>
                </w:tcPr>
                <w:p>
                  <w:r>
                    <w:t xml:space="preserve">Commode chairs (with or without castors)</w:t>
                  </w:r>
                </w:p>
              </w:tc>
              <w:tc>
                <w:tcPr>
                  <w:tcW w:w="2500" w:type="pct"/>
                  <w:vAlign w:val="top"/>
                </w:tcPr>
                <w:p>
                  <w:r>
                    <w:t xml:space="preserve">Chairs with a built in collection receptacle used for toileting away from the bathroom. Included are e.g. sanichairs and commode chairs also used for showering</w:t>
                  </w:r>
                </w:p>
              </w:tc>
              <w:tc>
                <w:tcPr>
                  <w:tcW w:w="400" w:type="pct"/>
                  <w:vAlign w:val="top"/>
                </w:tcPr>
                <w:p>
                  <w:r>
                    <w:t xml:space="preserve">09 12 03</w:t>
                  </w:r>
                </w:p>
              </w:tc>
            </w:tr>
            <w:tr>
              <w:trPr/>
              <w:tc>
                <w:tcPr>
                  <w:tcW w:w="350" w:type="pct"/>
                  <w:vMerge/>
                </w:tcPr>
                <w:p/>
              </w:tc>
              <w:tc>
                <w:tcPr>
                  <w:tcW w:w="1650" w:type="pct"/>
                  <w:vAlign w:val="top"/>
                </w:tcPr>
                <w:p>
                  <w:r>
                    <w:t xml:space="preserve">Drainage catheters</w:t>
                  </w:r>
                </w:p>
              </w:tc>
              <w:tc>
                <w:tcPr>
                  <w:tcW w:w="2500" w:type="pct"/>
                  <w:vAlign w:val="top"/>
                </w:tcPr>
                <w:p>
                  <w:r>
                    <w:t xml:space="preserve">Disposable tubes temporarily inserted in the bladder to enable urine to drain away</w:t>
                  </w:r>
                </w:p>
              </w:tc>
              <w:tc>
                <w:tcPr>
                  <w:tcW w:w="400" w:type="pct"/>
                  <w:vAlign w:val="top"/>
                </w:tcPr>
                <w:p>
                  <w:r>
                    <w:t xml:space="preserve">09 24 06</w:t>
                  </w:r>
                </w:p>
              </w:tc>
            </w:tr>
            <w:tr>
              <w:trPr/>
              <w:tc>
                <w:tcPr>
                  <w:tcW w:w="350" w:type="pct"/>
                  <w:vMerge/>
                </w:tcPr>
                <w:p/>
              </w:tc>
              <w:tc>
                <w:tcPr>
                  <w:tcW w:w="1650" w:type="pct"/>
                  <w:vAlign w:val="top"/>
                </w:tcPr>
                <w:p>
                  <w:r>
                    <w:t xml:space="preserve">Urine collection bags, body worn</w:t>
                  </w:r>
                </w:p>
              </w:tc>
              <w:tc>
                <w:tcPr>
                  <w:tcW w:w="2500" w:type="pct"/>
                  <w:vAlign w:val="top"/>
                </w:tcPr>
                <w:p>
                  <w:r>
                    <w:t xml:space="preserve">Body worn flexible containers for collecting urine. The bags are used together with a catheter.</w:t>
                  </w:r>
                </w:p>
              </w:tc>
              <w:tc>
                <w:tcPr>
                  <w:tcW w:w="400" w:type="pct"/>
                  <w:vAlign w:val="top"/>
                </w:tcPr>
                <w:p>
                  <w:r>
                    <w:t xml:space="preserve">09 27 04 (closed)</w:t>
                  </w:r>
                  <w:r>
                    <w:br/>
                  </w:r>
                  <w:r>
                    <w:t xml:space="preserve">09 27 05 (open)</w:t>
                  </w:r>
                </w:p>
                <w:p>
                  <w:r>
                    <w:t xml:space="preserve"> </w:t>
                  </w:r>
                </w:p>
              </w:tc>
            </w:tr>
            <w:tr>
              <w:trPr/>
              <w:tc>
                <w:tcPr>
                  <w:tcW w:w="350" w:type="pct"/>
                  <w:vMerge/>
                </w:tcPr>
                <w:p/>
              </w:tc>
              <w:tc>
                <w:tcPr>
                  <w:tcW w:w="1650" w:type="pct"/>
                  <w:vAlign w:val="top"/>
                </w:tcPr>
                <w:p>
                  <w:r>
                    <w:t xml:space="preserve">Body worn assistive products for absorbing urine and faeces</w:t>
                  </w:r>
                </w:p>
              </w:tc>
              <w:tc>
                <w:tcPr>
                  <w:tcW w:w="2500" w:type="pct"/>
                  <w:vAlign w:val="top"/>
                </w:tcPr>
                <w:p>
                  <w:r>
                    <w:t xml:space="preserve">Single use or reusable nappies, pads, etc</w:t>
                  </w:r>
                </w:p>
              </w:tc>
              <w:tc>
                <w:tcPr>
                  <w:tcW w:w="400" w:type="pct"/>
                  <w:vAlign w:val="top"/>
                </w:tcPr>
                <w:p>
                  <w:r>
                    <w:t xml:space="preserve">09 30 04</w:t>
                  </w:r>
                </w:p>
              </w:tc>
            </w:tr>
            <w:tr>
              <w:trPr/>
              <w:tc>
                <w:tcPr>
                  <w:tcW w:w="350" w:type="pct"/>
                  <w:vMerge/>
                </w:tcPr>
                <w:p/>
              </w:tc>
              <w:tc>
                <w:tcPr>
                  <w:tcW w:w="1650" w:type="pct"/>
                  <w:gridSpan w:val="3"/>
                  <w:vAlign w:val="top"/>
                </w:tcPr>
                <w:p>
                  <w:r>
                    <w:t xml:space="preserve">Assistive products for lifting</w:t>
                  </w:r>
                </w:p>
              </w:tc>
            </w:tr>
            <w:tr>
              <w:trPr/>
              <w:tc>
                <w:tcPr>
                  <w:tcW w:w="350" w:type="pct"/>
                  <w:vMerge/>
                </w:tcPr>
                <w:p/>
              </w:tc>
              <w:tc>
                <w:tcPr>
                  <w:tcW w:w="1650" w:type="pct"/>
                  <w:vAlign w:val="top"/>
                </w:tcPr>
                <w:p>
                  <w:r>
                    <w:t xml:space="preserve">Mobile hoists with sling seats</w:t>
                  </w:r>
                </w:p>
              </w:tc>
              <w:tc>
                <w:tcPr>
                  <w:tcW w:w="2500" w:type="pct"/>
                  <w:vAlign w:val="top"/>
                </w:tcPr>
                <w:p>
                  <w:r>
                    <w:t xml:space="preserve">Equipment for transferring by lifting and freely moving a person in a sitting, semi-sitting and semi-lying position</w:t>
                  </w:r>
                </w:p>
                <w:p>
                  <w:r>
                    <w:t xml:space="preserve">The body support unit consists of slings</w:t>
                  </w:r>
                </w:p>
              </w:tc>
              <w:tc>
                <w:tcPr>
                  <w:tcW w:w="400" w:type="pct"/>
                  <w:vAlign w:val="top"/>
                </w:tcPr>
                <w:p>
                  <w:r>
                    <w:t xml:space="preserve">12 36 03</w:t>
                  </w:r>
                </w:p>
              </w:tc>
            </w:tr>
            <w:tr>
              <w:trPr/>
              <w:tc>
                <w:tcPr>
                  <w:tcW w:w="350" w:type="pct"/>
                  <w:vMerge/>
                </w:tcPr>
                <w:p/>
              </w:tc>
              <w:tc>
                <w:tcPr>
                  <w:tcW w:w="1650" w:type="pct"/>
                  <w:vAlign w:val="top"/>
                </w:tcPr>
                <w:p>
                  <w:r>
                    <w:t xml:space="preserve">Standing mobile hoists</w:t>
                  </w:r>
                </w:p>
              </w:tc>
              <w:tc>
                <w:tcPr>
                  <w:tcW w:w="2500" w:type="pct"/>
                  <w:vAlign w:val="top"/>
                </w:tcPr>
                <w:p>
                  <w:r>
                    <w:t xml:space="preserve">Equipment for transferring by lifting a person from a sitting position into an upright standing position; the equipment can be moved around freely</w:t>
                  </w:r>
                </w:p>
                <w:p>
                  <w:r>
                    <w:t xml:space="preserve">The body support consists of slings, a footrest and leg and/or knee support</w:t>
                  </w:r>
                </w:p>
              </w:tc>
              <w:tc>
                <w:tcPr>
                  <w:tcW w:w="400" w:type="pct"/>
                  <w:vAlign w:val="top"/>
                </w:tcPr>
                <w:p>
                  <w:r>
                    <w:t xml:space="preserve">12 36 04</w:t>
                  </w:r>
                </w:p>
              </w:tc>
            </w:tr>
            <w:tr>
              <w:trPr/>
              <w:tc>
                <w:tcPr>
                  <w:tcW w:w="350" w:type="pct"/>
                  <w:vMerge/>
                </w:tcPr>
                <w:p/>
              </w:tc>
              <w:tc>
                <w:tcPr>
                  <w:tcW w:w="1650" w:type="pct"/>
                  <w:vAlign w:val="top"/>
                </w:tcPr>
                <w:p>
                  <w:r>
                    <w:t xml:space="preserve">Body support units for hoists</w:t>
                  </w:r>
                </w:p>
              </w:tc>
              <w:tc>
                <w:tcPr>
                  <w:tcW w:w="2500" w:type="pct"/>
                  <w:vAlign w:val="top"/>
                </w:tcPr>
                <w:p>
                  <w:r>
                    <w:t xml:space="preserve">Devices for providing support to a person being lifted in a hoist</w:t>
                  </w:r>
                </w:p>
                <w:p>
                  <w:r>
                    <w:t xml:space="preserve">Included are slings, seats, stretchers and toilet seats for mobile and stationary hoists for the transfer of persons</w:t>
                  </w:r>
                </w:p>
              </w:tc>
              <w:tc>
                <w:tcPr>
                  <w:tcW w:w="400" w:type="pct"/>
                  <w:vAlign w:val="top"/>
                </w:tcPr>
                <w:p>
                  <w:r>
                    <w:t xml:space="preserve">13 36 21</w:t>
                  </w:r>
                </w:p>
              </w:tc>
            </w:tr>
            <w:tr>
              <w:trPr/>
              <w:tc>
                <w:tcPr>
                  <w:tcW w:w="350" w:type="pct"/>
                  <w:vMerge w:val="restart"/>
                  <w:vAlign w:val="top"/>
                </w:tcPr>
                <w:p>
                  <w:r>
                    <w:t xml:space="preserve">Ambulant Mobility Aids</w:t>
                  </w:r>
                </w:p>
              </w:tc>
              <w:tc>
                <w:tcPr>
                  <w:tcW w:w="1650" w:type="pct"/>
                  <w:gridSpan w:val="3"/>
                  <w:vAlign w:val="top"/>
                </w:tcPr>
                <w:p>
                  <w:r>
                    <w:t xml:space="preserve">Assistive products for walking manipulated by both arms</w:t>
                  </w:r>
                </w:p>
              </w:tc>
            </w:tr>
            <w:tr>
              <w:trPr/>
              <w:tc>
                <w:tcPr>
                  <w:tcW w:w="350" w:type="pct"/>
                  <w:vMerge/>
                </w:tcPr>
                <w:p/>
              </w:tc>
              <w:tc>
                <w:tcPr>
                  <w:tcW w:w="1650" w:type="pct"/>
                  <w:vAlign w:val="top"/>
                </w:tcPr>
                <w:p>
                  <w:r>
                    <w:t xml:space="preserve">Walking frames or rollators</w:t>
                  </w:r>
                </w:p>
              </w:tc>
              <w:tc>
                <w:tcPr>
                  <w:tcW w:w="2500" w:type="pct"/>
                  <w:vAlign w:val="top"/>
                </w:tcPr>
                <w:p>
                  <w:r>
                    <w:t xml:space="preserve">Devices with handgrips, with or without wheels and tips and a seat for resting.</w:t>
                  </w:r>
                </w:p>
              </w:tc>
              <w:tc>
                <w:tcPr>
                  <w:tcW w:w="400" w:type="pct"/>
                  <w:vAlign w:val="top"/>
                </w:tcPr>
                <w:p>
                  <w:r>
                    <w:t xml:space="preserve">12 06 03 (frames)</w:t>
                  </w:r>
                  <w:r>
                    <w:br/>
                  </w:r>
                  <w:r>
                    <w:t xml:space="preserve">12 06 06 (rollators)</w:t>
                  </w:r>
                </w:p>
              </w:tc>
            </w:tr>
            <w:tr>
              <w:trPr/>
              <w:tc>
                <w:tcPr>
                  <w:tcW w:w="350" w:type="pct"/>
                  <w:vMerge w:val="restart"/>
                  <w:vAlign w:val="top"/>
                </w:tcPr>
                <w:p>
                  <w:r>
                    <w:t xml:space="preserve">Communication Aids</w:t>
                  </w:r>
                </w:p>
              </w:tc>
              <w:tc>
                <w:tcPr>
                  <w:tcW w:w="1650" w:type="pct"/>
                  <w:gridSpan w:val="3"/>
                  <w:vAlign w:val="top"/>
                </w:tcPr>
                <w:p>
                  <w:r>
                    <w:t xml:space="preserve">Assistive products for communication</w:t>
                  </w:r>
                </w:p>
              </w:tc>
            </w:tr>
            <w:tr>
              <w:trPr/>
              <w:tc>
                <w:tcPr>
                  <w:tcW w:w="350" w:type="pct"/>
                  <w:vMerge/>
                </w:tcPr>
                <w:p/>
              </w:tc>
              <w:tc>
                <w:tcPr>
                  <w:tcW w:w="1650" w:type="pct"/>
                  <w:vAlign w:val="top"/>
                </w:tcPr>
                <w:p>
                  <w:r>
                    <w:t xml:space="preserve">Voice generators (Electrolarynx)</w:t>
                  </w:r>
                </w:p>
              </w:tc>
              <w:tc>
                <w:tcPr>
                  <w:tcW w:w="2500" w:type="pct"/>
                  <w:vAlign w:val="top"/>
                </w:tcPr>
                <w:p>
                  <w:r>
                    <w:t xml:space="preserve">Devices for generating air oscillations in the throat, which are transformed into speech by the movement of the soft palate, tongue and mouth</w:t>
                  </w:r>
                </w:p>
              </w:tc>
              <w:tc>
                <w:tcPr>
                  <w:tcW w:w="400" w:type="pct"/>
                  <w:vAlign w:val="top"/>
                </w:tcPr>
                <w:p>
                  <w:r>
                    <w:t xml:space="preserve">22 09 03</w:t>
                  </w:r>
                </w:p>
              </w:tc>
            </w:tr>
            <w:tr>
              <w:trPr/>
              <w:tc>
                <w:tcPr>
                  <w:tcW w:w="350" w:type="pct"/>
                  <w:vMerge/>
                </w:tcPr>
                <w:p/>
              </w:tc>
              <w:tc>
                <w:tcPr>
                  <w:tcW w:w="1650" w:type="pct"/>
                  <w:vAlign w:val="top"/>
                </w:tcPr>
                <w:p>
                  <w:r>
                    <w:t xml:space="preserve">Dialogue units (Communication devices)</w:t>
                  </w:r>
                </w:p>
              </w:tc>
              <w:tc>
                <w:tcPr>
                  <w:tcW w:w="2500" w:type="pct"/>
                  <w:vAlign w:val="top"/>
                </w:tcPr>
                <w:p>
                  <w:r>
                    <w:t xml:space="preserve">Electronic devices that help direct communication.</w:t>
                  </w:r>
                </w:p>
                <w:p>
                  <w:r>
                    <w:t xml:space="preserve">Included are eg portable and non portable digital electronic displays, paper, recorded and/or synthetic speech output equipment.</w:t>
                  </w:r>
                </w:p>
              </w:tc>
              <w:tc>
                <w:tcPr>
                  <w:tcW w:w="400" w:type="pct"/>
                  <w:vAlign w:val="top"/>
                </w:tcPr>
                <w:p>
                  <w:r>
                    <w:t xml:space="preserve">22 21 09</w:t>
                  </w:r>
                </w:p>
              </w:tc>
            </w:tr>
            <w:tr>
              <w:trPr/>
              <w:tc>
                <w:tcPr>
                  <w:tcW w:w="350" w:type="pct"/>
                  <w:vMerge w:val="restart"/>
                  <w:vAlign w:val="top"/>
                </w:tcPr>
                <w:p>
                  <w:r>
                    <w:t xml:space="preserve">Postural support equipment</w:t>
                  </w:r>
                </w:p>
                <w:p>
                  <w:r>
                    <w:t xml:space="preserve">(primarily used in conjunction with wheeled mobility aids and daily living aids)</w:t>
                  </w:r>
                </w:p>
              </w:tc>
              <w:tc>
                <w:tcPr>
                  <w:tcW w:w="1650" w:type="pct"/>
                  <w:gridSpan w:val="3"/>
                  <w:vAlign w:val="top"/>
                </w:tcPr>
                <w:p>
                  <w:r>
                    <w:t xml:space="preserve">Sitting furniture (postural support seating)</w:t>
                  </w:r>
                </w:p>
              </w:tc>
            </w:tr>
            <w:tr>
              <w:trPr/>
              <w:tc>
                <w:tcPr>
                  <w:tcW w:w="350" w:type="pct"/>
                  <w:vMerge/>
                </w:tcPr>
                <w:p/>
              </w:tc>
              <w:tc>
                <w:tcPr>
                  <w:tcW w:w="1650" w:type="pct"/>
                  <w:vAlign w:val="top"/>
                </w:tcPr>
                <w:p>
                  <w:r>
                    <w:t xml:space="preserve">Seats, seating systems and abduction blocks</w:t>
                  </w:r>
                </w:p>
              </w:tc>
              <w:tc>
                <w:tcPr>
                  <w:tcW w:w="2500" w:type="pct"/>
                  <w:vAlign w:val="top"/>
                </w:tcPr>
                <w:p>
                  <w:r>
                    <w:t xml:space="preserve">Seats and accessories which correct and/or maintain a stable sitting position</w:t>
                  </w:r>
                </w:p>
                <w:p>
                  <w:r>
                    <w:t xml:space="preserve">Included are eg individually shaped seats</w:t>
                  </w:r>
                </w:p>
                <w:p>
                  <w:r>
                    <w:t xml:space="preserve">Excluded are seat cushions and underlays</w:t>
                  </w:r>
                </w:p>
              </w:tc>
              <w:tc>
                <w:tcPr>
                  <w:tcW w:w="400" w:type="pct"/>
                  <w:vAlign w:val="top"/>
                </w:tcPr>
                <w:p>
                  <w:r>
                    <w:t xml:space="preserve">18 09 31</w:t>
                  </w:r>
                </w:p>
              </w:tc>
            </w:tr>
            <w:tr>
              <w:trPr/>
              <w:tc>
                <w:tcPr>
                  <w:tcW w:w="350" w:type="pct"/>
                  <w:vMerge/>
                </w:tcPr>
                <w:p/>
              </w:tc>
              <w:tc>
                <w:tcPr>
                  <w:tcW w:w="1650" w:type="pct"/>
                  <w:vAlign w:val="top"/>
                </w:tcPr>
                <w:p>
                  <w:r>
                    <w:t xml:space="preserve">Assistive products for positioning (mounting systems)</w:t>
                  </w:r>
                </w:p>
              </w:tc>
              <w:tc>
                <w:tcPr>
                  <w:tcW w:w="2500" w:type="pct"/>
                  <w:vAlign w:val="top"/>
                </w:tcPr>
                <w:p>
                  <w:r>
                    <w:t xml:space="preserve">Devices for positioning objects close to the person to enable easy reach</w:t>
                  </w:r>
                </w:p>
                <w:p>
                  <w:r>
                    <w:t xml:space="preserve">Included are e.g. trays, tables, switch and device mounting systems</w:t>
                  </w:r>
                </w:p>
              </w:tc>
              <w:tc>
                <w:tcPr>
                  <w:tcW w:w="400" w:type="pct"/>
                  <w:vAlign w:val="top"/>
                </w:tcPr>
                <w:p>
                  <w:r>
                    <w:t xml:space="preserve">24 24</w:t>
                  </w:r>
                </w:p>
              </w:tc>
            </w:tr>
            <w:tr>
              <w:trPr/>
              <w:tc>
                <w:tcPr>
                  <w:tcW w:w="350" w:type="pct"/>
                  <w:vMerge/>
                </w:tcPr>
                <w:p/>
              </w:tc>
              <w:tc>
                <w:tcPr>
                  <w:tcW w:w="1650" w:type="pct"/>
                  <w:vAlign w:val="top"/>
                </w:tcPr>
                <w:p>
                  <w:r>
                    <w:t xml:space="preserve">Backrests</w:t>
                  </w:r>
                </w:p>
              </w:tc>
              <w:tc>
                <w:tcPr>
                  <w:tcW w:w="2500" w:type="pct"/>
                  <w:vAlign w:val="top"/>
                </w:tcPr>
                <w:p>
                  <w:r>
                    <w:t xml:space="preserve">Backrests and accessories providing comfort and support</w:t>
                  </w:r>
                </w:p>
              </w:tc>
              <w:tc>
                <w:tcPr>
                  <w:tcW w:w="400" w:type="pct"/>
                  <w:vAlign w:val="top"/>
                </w:tcPr>
                <w:p>
                  <w:r>
                    <w:t xml:space="preserve">18 09 34</w:t>
                  </w:r>
                </w:p>
              </w:tc>
            </w:tr>
            <w:tr>
              <w:trPr/>
              <w:tc>
                <w:tcPr>
                  <w:tcW w:w="350" w:type="pct"/>
                  <w:vMerge/>
                </w:tcPr>
                <w:p/>
              </w:tc>
              <w:tc>
                <w:tcPr>
                  <w:tcW w:w="1650" w:type="pct"/>
                  <w:vAlign w:val="top"/>
                </w:tcPr>
                <w:p>
                  <w:r>
                    <w:t xml:space="preserve">Modular seating systems</w:t>
                  </w:r>
                </w:p>
              </w:tc>
              <w:tc>
                <w:tcPr>
                  <w:tcW w:w="2500" w:type="pct"/>
                  <w:vAlign w:val="top"/>
                </w:tcPr>
                <w:p>
                  <w:r>
                    <w:t xml:space="preserve">Seating systems based on a framework to which may be attached selected seat modules, the position of which may then be adjusted to achieve a particular seat configuration</w:t>
                  </w:r>
                </w:p>
              </w:tc>
              <w:tc>
                <w:tcPr>
                  <w:tcW w:w="400" w:type="pct"/>
                  <w:vAlign w:val="top"/>
                </w:tcPr>
                <w:p>
                  <w:r>
                    <w:t xml:space="preserve">18 09 39</w:t>
                  </w:r>
                </w:p>
              </w:tc>
            </w:tr>
            <w:tr>
              <w:trPr/>
              <w:tc>
                <w:tcPr>
                  <w:tcW w:w="350" w:type="pct"/>
                  <w:vMerge/>
                </w:tcPr>
                <w:p/>
              </w:tc>
              <w:tc>
                <w:tcPr>
                  <w:tcW w:w="1650" w:type="pct"/>
                  <w:vAlign w:val="top"/>
                </w:tcPr>
                <w:p>
                  <w:r>
                    <w:t xml:space="preserve">Seat cushions</w:t>
                  </w:r>
                </w:p>
              </w:tc>
              <w:tc>
                <w:tcPr>
                  <w:tcW w:w="2500" w:type="pct"/>
                  <w:vAlign w:val="top"/>
                </w:tcPr>
                <w:p>
                  <w:r>
                    <w:t xml:space="preserve">Cushions for comfort and support</w:t>
                  </w:r>
                </w:p>
              </w:tc>
              <w:tc>
                <w:tcPr>
                  <w:tcW w:w="400" w:type="pct"/>
                  <w:vAlign w:val="top"/>
                </w:tcPr>
                <w:p>
                  <w:r>
                    <w:t xml:space="preserve">18 09 42</w:t>
                  </w:r>
                </w:p>
              </w:tc>
            </w:tr>
            <w:tr>
              <w:trPr/>
              <w:tc>
                <w:tcPr>
                  <w:tcW w:w="350" w:type="pct"/>
                  <w:vMerge/>
                </w:tcPr>
                <w:p/>
              </w:tc>
              <w:tc>
                <w:tcPr>
                  <w:tcW w:w="1650" w:type="pct"/>
                  <w:vAlign w:val="top"/>
                </w:tcPr>
                <w:p>
                  <w:r>
                    <w:t xml:space="preserve">Back cushions and back pads</w:t>
                  </w:r>
                </w:p>
              </w:tc>
              <w:tc>
                <w:tcPr>
                  <w:tcW w:w="2500" w:type="pct"/>
                  <w:vAlign w:val="top"/>
                </w:tcPr>
                <w:p>
                  <w:r>
                    <w:t xml:space="preserve">Cushions and pads for comfort and support</w:t>
                  </w:r>
                </w:p>
              </w:tc>
              <w:tc>
                <w:tcPr>
                  <w:tcW w:w="400" w:type="pct"/>
                  <w:vAlign w:val="top"/>
                </w:tcPr>
                <w:p>
                  <w:r>
                    <w:t xml:space="preserve">18 09 45</w:t>
                  </w:r>
                </w:p>
              </w:tc>
            </w:tr>
            <w:tr>
              <w:trPr/>
              <w:tc>
                <w:tcPr>
                  <w:tcW w:w="350" w:type="pct"/>
                  <w:vMerge/>
                </w:tcPr>
                <w:p/>
              </w:tc>
              <w:tc>
                <w:tcPr>
                  <w:tcW w:w="1650" w:type="pct"/>
                  <w:vAlign w:val="top"/>
                </w:tcPr>
                <w:p>
                  <w:r>
                    <w:t xml:space="preserve">Lap trays</w:t>
                  </w:r>
                </w:p>
              </w:tc>
              <w:tc>
                <w:tcPr>
                  <w:tcW w:w="2500" w:type="pct"/>
                  <w:vAlign w:val="top"/>
                </w:tcPr>
                <w:p>
                  <w:r>
                    <w:t xml:space="preserve">Devices on which activities can be carried out or on which objects can be placed, while sitting in a wheelchair</w:t>
                  </w:r>
                </w:p>
              </w:tc>
              <w:tc>
                <w:tcPr>
                  <w:tcW w:w="400" w:type="pct"/>
                  <w:vAlign w:val="top"/>
                </w:tcPr>
                <w:p>
                  <w:r>
                    <w:t xml:space="preserve">12 24 15</w:t>
                  </w:r>
                </w:p>
              </w:tc>
            </w:tr>
            <w:tr>
              <w:trPr/>
              <w:tc>
                <w:tcPr>
                  <w:tcW w:w="350" w:type="pct"/>
                  <w:vMerge w:val="restart"/>
                  <w:vAlign w:val="top"/>
                </w:tcPr>
                <w:p>
                  <w:r>
                    <w:t xml:space="preserve">Pressure management equipment</w:t>
                  </w:r>
                </w:p>
              </w:tc>
              <w:tc>
                <w:tcPr>
                  <w:tcW w:w="1650" w:type="pct"/>
                  <w:gridSpan w:val="3"/>
                  <w:vAlign w:val="top"/>
                </w:tcPr>
                <w:p>
                  <w:r>
                    <w:t xml:space="preserve">Assistive products for pressure sore prevention</w:t>
                  </w:r>
                </w:p>
              </w:tc>
            </w:tr>
            <w:tr>
              <w:trPr/>
              <w:tc>
                <w:tcPr>
                  <w:tcW w:w="350" w:type="pct"/>
                  <w:vMerge/>
                </w:tcPr>
                <w:p/>
              </w:tc>
              <w:tc>
                <w:tcPr>
                  <w:tcW w:w="1650" w:type="pct"/>
                  <w:vAlign w:val="top"/>
                </w:tcPr>
                <w:p>
                  <w:r>
                    <w:t xml:space="preserve">Seat cushions and underlays for pressure sore prevention</w:t>
                  </w:r>
                </w:p>
              </w:tc>
              <w:tc>
                <w:tcPr>
                  <w:tcW w:w="2500" w:type="pct"/>
                  <w:vAlign w:val="top"/>
                </w:tcPr>
                <w:p>
                  <w:r>
                    <w:t xml:space="preserve">Devices for reducing the pressure, and redistributing the load, on vulnerable parts of the body</w:t>
                  </w:r>
                </w:p>
              </w:tc>
              <w:tc>
                <w:tcPr>
                  <w:tcW w:w="400" w:type="pct"/>
                  <w:vAlign w:val="top"/>
                </w:tcPr>
                <w:p>
                  <w:r>
                    <w:t xml:space="preserve">04 33 03</w:t>
                  </w:r>
                </w:p>
              </w:tc>
            </w:tr>
            <w:tr>
              <w:trPr/>
              <w:tc>
                <w:tcPr>
                  <w:tcW w:w="350" w:type="pct"/>
                  <w:vMerge/>
                </w:tcPr>
                <w:p/>
              </w:tc>
              <w:tc>
                <w:tcPr>
                  <w:tcW w:w="1650" w:type="pct"/>
                  <w:vAlign w:val="top"/>
                </w:tcPr>
                <w:p>
                  <w:r>
                    <w:t xml:space="preserve">Back cushions and back pads for pressure sore prevention</w:t>
                  </w:r>
                </w:p>
              </w:tc>
              <w:tc>
                <w:tcPr>
                  <w:tcW w:w="2500" w:type="pct"/>
                  <w:vAlign w:val="top"/>
                </w:tcPr>
                <w:p>
                  <w:r>
                    <w:t xml:space="preserve">Devices for reducing the pressure, and redistributing the load, on vulnerable parts of the back</w:t>
                  </w:r>
                </w:p>
              </w:tc>
              <w:tc>
                <w:tcPr>
                  <w:tcW w:w="400" w:type="pct"/>
                  <w:vAlign w:val="top"/>
                </w:tcPr>
                <w:p>
                  <w:r>
                    <w:t xml:space="preserve">04 33 04</w:t>
                  </w:r>
                </w:p>
              </w:tc>
            </w:tr>
            <w:tr>
              <w:trPr/>
              <w:tc>
                <w:tcPr>
                  <w:tcW w:w="350" w:type="pct"/>
                  <w:vMerge/>
                </w:tcPr>
                <w:p/>
              </w:tc>
              <w:tc>
                <w:tcPr>
                  <w:tcW w:w="1650" w:type="pct"/>
                  <w:vAlign w:val="top"/>
                </w:tcPr>
                <w:p>
                  <w:r>
                    <w:t xml:space="preserve">Mattresses and mattress coverings for pressure sore prevention</w:t>
                  </w:r>
                </w:p>
              </w:tc>
              <w:tc>
                <w:tcPr>
                  <w:tcW w:w="2500" w:type="pct"/>
                  <w:vAlign w:val="top"/>
                </w:tcPr>
                <w:p>
                  <w:r>
                    <w:t xml:space="preserve">Devices for reducing the pressure on vulnerable parts of the body</w:t>
                  </w:r>
                </w:p>
              </w:tc>
              <w:tc>
                <w:tcPr>
                  <w:tcW w:w="400" w:type="pct"/>
                  <w:vAlign w:val="top"/>
                </w:tcPr>
                <w:p>
                  <w:r>
                    <w:t xml:space="preserve">04 33 06</w:t>
                  </w:r>
                </w:p>
              </w:tc>
            </w:tr>
            <w:tr>
              <w:trPr/>
              <w:tc>
                <w:tcPr>
                  <w:tcW w:w="350" w:type="pct"/>
                  <w:vMerge w:val="restart"/>
                  <w:vAlign w:val="top"/>
                </w:tcPr>
                <w:p>
                  <w:r>
                    <w:t xml:space="preserve">Wheeled mobility aids</w:t>
                  </w:r>
                </w:p>
              </w:tc>
              <w:tc>
                <w:tcPr>
                  <w:tcW w:w="1650" w:type="pct"/>
                  <w:gridSpan w:val="3"/>
                  <w:vAlign w:val="top"/>
                </w:tcPr>
                <w:p>
                  <w:r>
                    <w:t xml:space="preserve">Assistive products for personal mobility</w:t>
                  </w:r>
                </w:p>
              </w:tc>
            </w:tr>
            <w:tr>
              <w:trPr/>
              <w:tc>
                <w:tcPr>
                  <w:tcW w:w="350" w:type="pct"/>
                  <w:vMerge/>
                </w:tcPr>
                <w:p/>
              </w:tc>
              <w:tc>
                <w:tcPr>
                  <w:tcW w:w="1650" w:type="pct"/>
                  <w:vAlign w:val="top"/>
                </w:tcPr>
                <w:p>
                  <w:r>
                    <w:t xml:space="preserve">Human driven wheelchairs (manual wheelchairs)</w:t>
                  </w:r>
                </w:p>
              </w:tc>
              <w:tc>
                <w:tcPr>
                  <w:tcW w:w="2500" w:type="pct"/>
                  <w:vAlign w:val="top"/>
                </w:tcPr>
                <w:p>
                  <w:r>
                    <w:t xml:space="preserve">Devices providing wheeled mobility and body support for persons with limited ability to walk, which rely on a user or an attendant to provide power for the operation</w:t>
                  </w:r>
                </w:p>
              </w:tc>
              <w:tc>
                <w:tcPr>
                  <w:tcW w:w="400" w:type="pct"/>
                  <w:vAlign w:val="top"/>
                </w:tcPr>
                <w:p>
                  <w:r>
                    <w:t xml:space="preserve">12 22</w:t>
                  </w:r>
                </w:p>
              </w:tc>
            </w:tr>
            <w:tr>
              <w:trPr/>
              <w:tc>
                <w:tcPr>
                  <w:tcW w:w="350" w:type="pct"/>
                  <w:vMerge/>
                </w:tcPr>
                <w:p/>
              </w:tc>
              <w:tc>
                <w:tcPr>
                  <w:tcW w:w="1650" w:type="pct"/>
                  <w:vAlign w:val="top"/>
                </w:tcPr>
                <w:p>
                  <w:r>
                    <w:t xml:space="preserve">Powered wheelchairs</w:t>
                  </w:r>
                </w:p>
              </w:tc>
              <w:tc>
                <w:tcPr>
                  <w:tcW w:w="2500" w:type="pct"/>
                  <w:vAlign w:val="top"/>
                </w:tcPr>
                <w:p>
                  <w:r>
                    <w:t xml:space="preserve">Devices with powered propulsion, intended to provide wheeled mobility and body support for persons with limited ability to walk</w:t>
                  </w:r>
                </w:p>
              </w:tc>
              <w:tc>
                <w:tcPr>
                  <w:tcW w:w="400" w:type="pct"/>
                  <w:vAlign w:val="top"/>
                </w:tcPr>
                <w:p>
                  <w:r>
                    <w:t xml:space="preserve">12 23</w:t>
                  </w:r>
                </w:p>
              </w:tc>
            </w:tr>
            <w:tr>
              <w:trPr/>
              <w:tc>
                <w:tcPr>
                  <w:tcW w:w="350" w:type="pct"/>
                  <w:vMerge w:val="restart"/>
                  <w:vAlign w:val="top"/>
                </w:tcPr>
                <w:p>
                  <w:r>
                    <w:t xml:space="preserve">Home Modifications</w:t>
                  </w:r>
                </w:p>
              </w:tc>
              <w:tc>
                <w:tcPr>
                  <w:tcW w:w="1650" w:type="pct"/>
                  <w:gridSpan w:val="3"/>
                  <w:vAlign w:val="top"/>
                </w:tcPr>
                <w:p>
                  <w:r>
                    <w:t xml:space="preserve">Adaptations to homes and other premises</w:t>
                  </w:r>
                </w:p>
              </w:tc>
            </w:tr>
            <w:tr>
              <w:trPr/>
              <w:tc>
                <w:tcPr>
                  <w:tcW w:w="350" w:type="pct"/>
                  <w:vMerge/>
                </w:tcPr>
                <w:p/>
              </w:tc>
              <w:tc>
                <w:tcPr>
                  <w:tcW w:w="1650" w:type="pct"/>
                  <w:vAlign w:val="top"/>
                </w:tcPr>
                <w:p>
                  <w:r>
                    <w:t xml:space="preserve">Grab rails and hand grips</w:t>
                  </w:r>
                </w:p>
              </w:tc>
              <w:tc>
                <w:tcPr>
                  <w:tcW w:w="2500" w:type="pct"/>
                  <w:vAlign w:val="top"/>
                </w:tcPr>
                <w:p>
                  <w:r>
                    <w:t xml:space="preserve">Fixed rails to provide support whilst changing position</w:t>
                  </w:r>
                </w:p>
              </w:tc>
              <w:tc>
                <w:tcPr>
                  <w:tcW w:w="400" w:type="pct"/>
                  <w:vAlign w:val="top"/>
                </w:tcPr>
                <w:p>
                  <w:r>
                    <w:t xml:space="preserve">18 18 06</w:t>
                  </w:r>
                </w:p>
              </w:tc>
            </w:tr>
            <w:tr>
              <w:trPr/>
              <w:tc>
                <w:tcPr>
                  <w:tcW w:w="350" w:type="pct"/>
                  <w:vMerge/>
                </w:tcPr>
                <w:p/>
              </w:tc>
              <w:tc>
                <w:tcPr>
                  <w:tcW w:w="1650" w:type="pct"/>
                  <w:vAlign w:val="top"/>
                </w:tcPr>
                <w:p>
                  <w:r>
                    <w:t xml:space="preserve">Step rails</w:t>
                  </w:r>
                </w:p>
              </w:tc>
              <w:tc>
                <w:tcPr>
                  <w:tcW w:w="2500" w:type="pct"/>
                  <w:vAlign w:val="top"/>
                </w:tcPr>
                <w:p>
                  <w:r>
                    <w:t xml:space="preserve">Fixed rails to provide support whilst ascending/descending stairs</w:t>
                  </w:r>
                </w:p>
              </w:tc>
              <w:tc>
                <w:tcPr>
                  <w:tcW w:w="400" w:type="pct"/>
                  <w:vAlign w:val="top"/>
                </w:tcPr>
                <w:p>
                  <w:r>
                    <w:t xml:space="preserve">18 18 03*</w:t>
                  </w:r>
                </w:p>
              </w:tc>
            </w:tr>
            <w:tr>
              <w:trPr/>
              <w:tc>
                <w:tcPr>
                  <w:tcW w:w="350" w:type="pct"/>
                  <w:vMerge/>
                </w:tcPr>
                <w:p/>
              </w:tc>
              <w:tc>
                <w:tcPr>
                  <w:tcW w:w="1650" w:type="pct"/>
                  <w:vAlign w:val="top"/>
                </w:tcPr>
                <w:p>
                  <w:r>
                    <w:t xml:space="preserve">Fixed and/or portable ramps</w:t>
                  </w:r>
                </w:p>
              </w:tc>
              <w:tc>
                <w:tcPr>
                  <w:tcW w:w="2500" w:type="pct"/>
                  <w:vAlign w:val="top"/>
                </w:tcPr>
                <w:p>
                  <w:r>
                    <w:t xml:space="preserve">Fixed and/or movable sloping surfaces which bridge a limited gap between two levels</w:t>
                  </w:r>
                </w:p>
              </w:tc>
              <w:tc>
                <w:tcPr>
                  <w:tcW w:w="400" w:type="pct"/>
                  <w:vAlign w:val="top"/>
                </w:tcPr>
                <w:p>
                  <w:r>
                    <w:t xml:space="preserve">18 30 15 (fixed)</w:t>
                  </w:r>
                  <w:r>
                    <w:br/>
                  </w:r>
                  <w:r>
                    <w:t xml:space="preserve">18 30 18 (portable)</w:t>
                  </w:r>
                </w:p>
              </w:tc>
            </w:tr>
            <w:tr>
              <w:trPr/>
              <w:tc>
                <w:tcPr>
                  <w:tcW w:w="350" w:type="pct"/>
                  <w:vMerge/>
                </w:tcPr>
                <w:p/>
              </w:tc>
              <w:tc>
                <w:tcPr>
                  <w:tcW w:w="1650" w:type="pct"/>
                  <w:vAlign w:val="top"/>
                </w:tcPr>
                <w:p>
                  <w:r>
                    <w:t xml:space="preserve">Minor home modifications</w:t>
                  </w:r>
                </w:p>
              </w:tc>
              <w:tc>
                <w:tcPr>
                  <w:tcW w:w="2500" w:type="pct"/>
                  <w:vAlign w:val="top"/>
                </w:tcPr>
                <w:p>
                  <w:r>
                    <w:t xml:space="preserve">E.g. re-swing doors, half steps, false steps, door handles, shower platforms</w:t>
                  </w:r>
                </w:p>
              </w:tc>
              <w:tc>
                <w:tcPr>
                  <w:tcW w:w="400" w:type="pct"/>
                  <w:vAlign w:val="top"/>
                </w:tcPr>
                <w:p>
                  <w:r>
                    <w:t xml:space="preserve">18 24*</w:t>
                  </w:r>
                  <w:r>
                    <w:br/>
                  </w:r>
                  <w:r>
                    <w:t xml:space="preserve">18 30*</w:t>
                  </w:r>
                </w:p>
              </w:tc>
            </w:tr>
          </w:tbl>
          <w:p>
            <w:r>
              <w:t xml:space="preserve">* Partial match: the AS/NZS ISO codes are more inclusive than that described in the sub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should record the type of goods or equipment received by the client (on loan or by purchase) for each Service event. This information can then be amalgamated to provide a measure of the types of goods and equipment received by a client over a reporting period (which will vary according to collection requirements).</w:t>
            </w:r>
          </w:p>
          <w:p>
            <w:pPr/>
            <w:r>
              <w:rPr>
                <w:rStyle w:val="row-content-rich-text"/>
              </w:rPr>
              <w:t xml:space="preserve">Where the client receives more than one of the same type of good or equipment (e.g. several food packets) on the same occasion, the agency should only record this once. Where the client receives different types of goods or equipment on the same occasion, the agency should separately record each type of goods or equipment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f3db29613e44c7">
              <w:r>
                <w:rPr>
                  <w:rStyle w:val="Hyperlink"/>
                </w:rPr>
                <w:t xml:space="preserve">Service event—type of goods and equipment received, code N</w:t>
              </w:r>
            </w:hyperlink>
          </w:p>
          <w:p>
            <w:pPr>
              <w:pStyle w:val="registration-status"/>
              <w:spacing w:before="0" w:after="0"/>
            </w:pPr>
            <w:hyperlink w:history="true" r:id="Rb79c93d9a2fe49fc">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f0390d8c9b4ff8">
              <w:r>
                <w:rPr>
                  <w:rStyle w:val="Hyperlink"/>
                </w:rPr>
                <w:t xml:space="preserve">Disability services/supports received cluster</w:t>
              </w:r>
            </w:hyperlink>
          </w:p>
          <w:p>
            <w:pPr>
              <w:pStyle w:val="registration-status"/>
              <w:spacing w:before="0" w:after="0"/>
            </w:pPr>
            <w:hyperlink w:history="true" r:id="Rd764516f1cc74cf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4d9ade7c9c44ccb">
              <w:r>
                <w:rPr>
                  <w:rStyle w:val="Hyperlink"/>
                  <w:color w:val="244061"/>
                </w:rPr>
                <w:t xml:space="preserve">Disability</w:t>
              </w:r>
            </w:hyperlink>
            <w:r>
              <w:rPr>
                <w:rStyle w:val="row-content"/>
                <w:color w:val="244061"/>
              </w:rPr>
              <w:t xml:space="preserve">, Superseded 13/08/2015</w:t>
            </w:r>
          </w:p>
          <w:p>
            <w:r>
              <w:br/>
            </w:r>
            <w:hyperlink w:history="true" r:id="Rff6899e50e5f4f6d">
              <w:r>
                <w:rPr>
                  <w:rStyle w:val="Hyperlink"/>
                </w:rPr>
                <w:t xml:space="preserve">Disability services/supports received cluster</w:t>
              </w:r>
            </w:hyperlink>
          </w:p>
          <w:p>
            <w:pPr>
              <w:pStyle w:val="registration-status"/>
              <w:spacing w:before="0" w:after="0"/>
            </w:pPr>
            <w:hyperlink w:history="true" r:id="R3579bbae679a4a3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812fa3ab0b0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508632</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25fab8e14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2fa3ab0b0445b" /><Relationship Type="http://schemas.openxmlformats.org/officeDocument/2006/relationships/header" Target="/word/header1.xml" Id="Raef9e74af2994f0c" /><Relationship Type="http://schemas.openxmlformats.org/officeDocument/2006/relationships/settings" Target="/word/settings.xml" Id="Rbd70cc12fc384999" /><Relationship Type="http://schemas.openxmlformats.org/officeDocument/2006/relationships/styles" Target="/word/styles.xml" Id="Rec9144fd7ebc455e" /><Relationship Type="http://schemas.openxmlformats.org/officeDocument/2006/relationships/hyperlink" Target="https://meteor.aihw.gov.au/RegistrationAuthority/1" TargetMode="External" Id="R1dd98ace401e4c5e" /><Relationship Type="http://schemas.openxmlformats.org/officeDocument/2006/relationships/hyperlink" Target="https://meteor.aihw.gov.au/RegistrationAuthority/16" TargetMode="External" Id="Rc7f1a1b5f1624acf" /><Relationship Type="http://schemas.openxmlformats.org/officeDocument/2006/relationships/hyperlink" Target="https://meteor.aihw.gov.au/content/513181" TargetMode="External" Id="R0cae382c2cb24786" /><Relationship Type="http://schemas.openxmlformats.org/officeDocument/2006/relationships/hyperlink" Target="https://meteor.aihw.gov.au/content/508626" TargetMode="External" Id="R4809fd444d104853" /><Relationship Type="http://schemas.openxmlformats.org/officeDocument/2006/relationships/hyperlink" Target="https://meteor.aihw.gov.au/content/508624" TargetMode="External" Id="R390d6ba9c08b4cac" /><Relationship Type="http://schemas.openxmlformats.org/officeDocument/2006/relationships/hyperlink" Target="https://meteor.aihw.gov.au/content/323236" TargetMode="External" Id="R83f3db29613e44c7" /><Relationship Type="http://schemas.openxmlformats.org/officeDocument/2006/relationships/hyperlink" Target="https://meteor.aihw.gov.au/RegistrationAuthority/1" TargetMode="External" Id="Rb79c93d9a2fe49fc" /><Relationship Type="http://schemas.openxmlformats.org/officeDocument/2006/relationships/hyperlink" Target="https://meteor.aihw.gov.au/content/484556" TargetMode="External" Id="R5ef0390d8c9b4ff8" /><Relationship Type="http://schemas.openxmlformats.org/officeDocument/2006/relationships/hyperlink" Target="https://meteor.aihw.gov.au/RegistrationAuthority/1" TargetMode="External" Id="Rd764516f1cc74cfa" /><Relationship Type="http://schemas.openxmlformats.org/officeDocument/2006/relationships/hyperlink" Target="https://meteor.aihw.gov.au/RegistrationAuthority/16" TargetMode="External" Id="R54d9ade7c9c44ccb" /><Relationship Type="http://schemas.openxmlformats.org/officeDocument/2006/relationships/hyperlink" Target="https://meteor.aihw.gov.au/content/617063" TargetMode="External" Id="Rff6899e50e5f4f6d" /><Relationship Type="http://schemas.openxmlformats.org/officeDocument/2006/relationships/hyperlink" Target="https://meteor.aihw.gov.au/RegistrationAuthority/16" TargetMode="External" Id="R3579bbae679a4a3e" /></Relationships>
</file>

<file path=word/_rels/header1.xml.rels>&#65279;<?xml version="1.0" encoding="utf-8"?><Relationships xmlns="http://schemas.openxmlformats.org/package/2006/relationships"><Relationship Type="http://schemas.openxmlformats.org/officeDocument/2006/relationships/image" Target="/media/image.png" Id="R79e25fab8e1448bb" /></Relationships>
</file>