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9ff2a26484948" /></Relationships>
</file>

<file path=word/document.xml><?xml version="1.0" encoding="utf-8"?>
<w:document xmlns:r="http://schemas.openxmlformats.org/officeDocument/2006/relationships" xmlns:w="http://schemas.openxmlformats.org/wordprocessingml/2006/main">
  <w:body>
    <w:p>
      <w:pPr>
        <w:pStyle w:val="Title"/>
      </w:pPr>
      <w:r>
        <w:t>Detention period—detention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5da8e01284e8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5a544e28bf4a7f">
              <w:r>
                <w:rPr>
                  <w:rStyle w:val="Hyperlink"/>
                </w:rPr>
                <w:t xml:space="preserve">Detention period—detention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1a829491d43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time in custody or confinement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fd884f0fda4ac9">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34a62d90b54eb4">
              <w:r>
                <w:rPr>
                  <w:rStyle w:val="Hyperlink"/>
                </w:rPr>
                <w:t xml:space="preserve">Detention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026f6eb4454f3e">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b39bd128a4f89">
              <w:r>
                <w:rPr>
                  <w:rStyle w:val="Hyperlink"/>
                  <w:color w:val="244061"/>
                </w:rPr>
                <w:t xml:space="preserve">Aged Care</w:t>
              </w:r>
            </w:hyperlink>
            <w:r>
              <w:rPr>
                <w:rStyle w:val="row-content"/>
                <w:color w:val="244061"/>
              </w:rPr>
              <w:t xml:space="preserve">, Standard 30/06/2023</w:t>
            </w:r>
          </w:p>
          <w:p>
            <w:pPr>
              <w:spacing w:before="0" w:after="0"/>
            </w:pPr>
            <w:hyperlink w:history="true" r:id="Rb94aab22e3a7428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454fd84e927404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4f0678b5374466b">
              <w:r>
                <w:rPr>
                  <w:rStyle w:val="Hyperlink"/>
                  <w:color w:val="244061"/>
                </w:rPr>
                <w:t xml:space="preserve">Children and Families</w:t>
              </w:r>
            </w:hyperlink>
            <w:r>
              <w:rPr>
                <w:rStyle w:val="row-content"/>
                <w:color w:val="244061"/>
              </w:rPr>
              <w:t xml:space="preserve">, Standard 22/11/2016</w:t>
            </w:r>
          </w:p>
          <w:p>
            <w:pPr>
              <w:spacing w:before="0" w:after="0"/>
            </w:pPr>
            <w:hyperlink w:history="true" r:id="Rf6d1dab0554c45d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e9e2cf25f0e4b6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314b8a4cee4c69">
              <w:r>
                <w:rPr>
                  <w:rStyle w:val="Hyperlink"/>
                  <w:color w:val="244061"/>
                </w:rPr>
                <w:t xml:space="preserve">Disability</w:t>
              </w:r>
            </w:hyperlink>
            <w:r>
              <w:rPr>
                <w:rStyle w:val="row-content"/>
                <w:color w:val="244061"/>
              </w:rPr>
              <w:t xml:space="preserve">, Standard 07/10/2014</w:t>
            </w:r>
          </w:p>
          <w:p>
            <w:pPr>
              <w:spacing w:before="0" w:after="0"/>
            </w:pPr>
            <w:hyperlink w:history="true" r:id="Rbbab9faabe9e4ea7">
              <w:r>
                <w:rPr>
                  <w:rStyle w:val="Hyperlink"/>
                  <w:color w:val="244061"/>
                </w:rPr>
                <w:t xml:space="preserve">Early Childhood</w:t>
              </w:r>
            </w:hyperlink>
            <w:r>
              <w:rPr>
                <w:rStyle w:val="row-content"/>
                <w:color w:val="244061"/>
              </w:rPr>
              <w:t xml:space="preserve">, Standard 21/05/2010</w:t>
            </w:r>
          </w:p>
          <w:p>
            <w:pPr>
              <w:spacing w:before="0" w:after="0"/>
            </w:pPr>
            <w:hyperlink w:history="true" r:id="Rf1cfb8b82dce4e0a">
              <w:r>
                <w:rPr>
                  <w:rStyle w:val="Hyperlink"/>
                  <w:color w:val="244061"/>
                </w:rPr>
                <w:t xml:space="preserve">Health</w:t>
              </w:r>
            </w:hyperlink>
            <w:r>
              <w:rPr>
                <w:rStyle w:val="row-content"/>
                <w:color w:val="244061"/>
              </w:rPr>
              <w:t xml:space="preserve">, Standard 01/03/2005</w:t>
            </w:r>
          </w:p>
          <w:p>
            <w:pPr>
              <w:spacing w:before="0" w:after="0"/>
            </w:pPr>
            <w:hyperlink w:history="true" r:id="Rbc768271377247f6">
              <w:r>
                <w:rPr>
                  <w:rStyle w:val="Hyperlink"/>
                  <w:color w:val="244061"/>
                </w:rPr>
                <w:t xml:space="preserve">Homelessness</w:t>
              </w:r>
            </w:hyperlink>
            <w:r>
              <w:rPr>
                <w:rStyle w:val="row-content"/>
                <w:color w:val="244061"/>
              </w:rPr>
              <w:t xml:space="preserve">, Standard 23/08/2010</w:t>
            </w:r>
          </w:p>
          <w:p>
            <w:pPr>
              <w:spacing w:before="0" w:after="0"/>
            </w:pPr>
            <w:hyperlink w:history="true" r:id="R9665c30b012b418d">
              <w:r>
                <w:rPr>
                  <w:rStyle w:val="Hyperlink"/>
                  <w:color w:val="244061"/>
                </w:rPr>
                <w:t xml:space="preserve">Housing assistance</w:t>
              </w:r>
            </w:hyperlink>
            <w:r>
              <w:rPr>
                <w:rStyle w:val="row-content"/>
                <w:color w:val="244061"/>
              </w:rPr>
              <w:t xml:space="preserve">, Standard 01/03/2005</w:t>
            </w:r>
          </w:p>
          <w:p>
            <w:pPr>
              <w:spacing w:before="0" w:after="0"/>
            </w:pPr>
            <w:hyperlink w:history="true" r:id="R16ef25be903f40d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d427b65701a4a7a">
              <w:r>
                <w:rPr>
                  <w:rStyle w:val="Hyperlink"/>
                  <w:color w:val="244061"/>
                </w:rPr>
                <w:t xml:space="preserve">Indigenous</w:t>
              </w:r>
            </w:hyperlink>
            <w:r>
              <w:rPr>
                <w:rStyle w:val="row-content"/>
                <w:color w:val="244061"/>
              </w:rPr>
              <w:t xml:space="preserve">, Standard 11/08/2014</w:t>
            </w:r>
          </w:p>
          <w:p>
            <w:pPr>
              <w:spacing w:before="0" w:after="0"/>
            </w:pPr>
            <w:hyperlink w:history="true" r:id="R5d5a3b73f3794cf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e15e35e44704fbb">
              <w:r>
                <w:rPr>
                  <w:rStyle w:val="Hyperlink"/>
                  <w:color w:val="244061"/>
                </w:rPr>
                <w:t xml:space="preserve">Tasmanian Health</w:t>
              </w:r>
            </w:hyperlink>
            <w:r>
              <w:rPr>
                <w:rStyle w:val="row-content"/>
                <w:color w:val="244061"/>
              </w:rPr>
              <w:t xml:space="preserve">, Standard 31/08/2016</w:t>
            </w:r>
          </w:p>
          <w:p>
            <w:pPr>
              <w:spacing w:before="0" w:after="0"/>
            </w:pPr>
            <w:hyperlink w:history="true" r:id="R1160334679cc470e">
              <w:r>
                <w:rPr>
                  <w:rStyle w:val="Hyperlink"/>
                  <w:color w:val="244061"/>
                </w:rPr>
                <w:t xml:space="preserve">WA Health</w:t>
              </w:r>
            </w:hyperlink>
            <w:r>
              <w:rPr>
                <w:rStyle w:val="row-content"/>
                <w:color w:val="244061"/>
              </w:rPr>
              <w:t xml:space="preserve">, Standard 06/03/2014</w:t>
            </w:r>
          </w:p>
          <w:p>
            <w:pPr>
              <w:spacing w:before="0" w:after="0"/>
            </w:pPr>
            <w:hyperlink w:history="true" r:id="R9f811c571e17446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detention period is the period spent in a particular detention centre for a particular type of detention (pre-court detention, pre-sentence detention, sentenced detention). A detention period starts when:</w:t>
            </w:r>
          </w:p>
          <w:p>
            <w:pPr>
              <w:spacing w:after="160"/>
            </w:pPr>
            <w:r>
              <w:rPr>
                <w:rStyle w:val="row-content-rich-text"/>
              </w:rPr>
              <w:t xml:space="preserve">•        the person is received into detention</w:t>
            </w:r>
          </w:p>
          <w:p>
            <w:pPr>
              <w:spacing w:after="160"/>
            </w:pPr>
            <w:r>
              <w:rPr>
                <w:rStyle w:val="row-content-rich-text"/>
              </w:rPr>
              <w:t xml:space="preserve">•        the person is transferred to another detention centre</w:t>
            </w:r>
          </w:p>
          <w:p>
            <w:pPr>
              <w:spacing w:after="160"/>
            </w:pPr>
            <w:r>
              <w:rPr>
                <w:rStyle w:val="row-content-rich-text"/>
              </w:rPr>
              <w:t xml:space="preserve">•        the person is transferred to the custody of another jurisdiction (e.g. adult corrective services, police custody, interstate)</w:t>
            </w:r>
          </w:p>
          <w:p>
            <w:pPr>
              <w:spacing w:after="160"/>
            </w:pPr>
            <w:r>
              <w:rPr>
                <w:rStyle w:val="row-content-rich-text"/>
              </w:rPr>
              <w:t xml:space="preserve">•        the type of detention changes (pre-court detention, pre-sentence detention, sentenced detention)</w:t>
            </w:r>
          </w:p>
          <w:p>
            <w:pPr>
              <w:spacing w:after="160"/>
            </w:pPr>
            <w:r>
              <w:rPr>
                <w:rStyle w:val="row-content-rich-text"/>
              </w:rPr>
              <w:t xml:space="preserve">•        the person returns to detention following an escape or abscond.</w:t>
            </w:r>
          </w:p>
          <w:p>
            <w:pPr>
              <w:spacing w:after="160"/>
            </w:pPr>
            <w:r>
              <w:rPr>
                <w:rStyle w:val="row-content-rich-text"/>
              </w:rPr>
              <w:t xml:space="preserve">Detention periods may be concurrent where the detention types are different; that is, the detention start date may be before the detention end date of the previous order. For example, a young person's period of sentenced detention begins 1 January and ends 1 June. On 1 February, they are placed on remand (pre-sentence detention) until 10 February. There are two detention periods, a period of sentenced detention from 1 January to 1 June and a period of pre-sentence detention from 1 February to 10 February.</w:t>
            </w:r>
          </w:p>
          <w:p>
            <w:pPr>
              <w:spacing w:after="160"/>
            </w:pPr>
            <w:r>
              <w:rPr>
                <w:rStyle w:val="row-content-rich-text"/>
              </w:rPr>
              <w:t xml:space="preserve">Detention periods cannot be concurrent where the detention types are the same. If the young person in the example above is placed in sentenced detention following the end of period of remand on 10 February, this is included in the first period of sentenced detention. </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50" w:type="pct"/>
                  <w:vAlign w:val="top"/>
                </w:tcPr>
                <w:p>
                  <w:pPr/>
                  <w:r>
                    <w:rPr>
                      <w:rStyle w:val="row-content-rich-text"/>
                    </w:rPr>
                    <w:t xml:space="preserve">Person identifier</w:t>
                  </w:r>
                </w:p>
              </w:tc>
              <w:tc>
                <w:tcPr>
                  <w:tcW w:w="600" w:type="pct"/>
                  <w:vAlign w:val="top"/>
                </w:tcPr>
                <w:p>
                  <w:r>
                    <w:t xml:space="preserve">Detention start date</w:t>
                  </w:r>
                </w:p>
              </w:tc>
              <w:tc>
                <w:tcPr>
                  <w:tcW w:w="550" w:type="pct"/>
                  <w:vAlign w:val="top"/>
                </w:tcPr>
                <w:p>
                  <w:r>
                    <w:t xml:space="preserve">Detention end date</w:t>
                  </w:r>
                </w:p>
              </w:tc>
              <w:tc>
                <w:tcPr>
                  <w:tcW w:w="1200" w:type="pct"/>
                  <w:vAlign w:val="top"/>
                </w:tcPr>
                <w:p>
                  <w:r>
                    <w:t xml:space="preserve">Detention type</w:t>
                  </w:r>
                </w:p>
              </w:tc>
              <w:tc>
                <w:tcPr>
                  <w:tcW w:w="2300" w:type="pct"/>
                  <w:vAlign w:val="top"/>
                </w:tcPr>
                <w:p>
                  <w:r>
                    <w:t xml:space="preserve">Comment</w:t>
                  </w:r>
                </w:p>
              </w:tc>
            </w:tr>
            <w:tr>
              <w:trPr/>
              <w:tc>
                <w:tcPr>
                  <w:tcW w:w="250" w:type="pct"/>
                  <w:vAlign w:val="top"/>
                </w:tcPr>
                <w:p>
                  <w:r>
                    <w:t xml:space="preserve">1</w:t>
                  </w:r>
                </w:p>
              </w:tc>
              <w:tc>
                <w:tcPr>
                  <w:tcW w:w="600" w:type="pct"/>
                  <w:vAlign w:val="top"/>
                </w:tcPr>
                <w:p>
                  <w:r>
                    <w:t xml:space="preserve">01/01/08</w:t>
                  </w:r>
                </w:p>
              </w:tc>
              <w:tc>
                <w:tcPr>
                  <w:tcW w:w="550" w:type="pct"/>
                  <w:vAlign w:val="top"/>
                </w:tcPr>
                <w:p>
                  <w:r>
                    <w:t xml:space="preserve">01/06/08</w:t>
                  </w:r>
                </w:p>
              </w:tc>
              <w:tc>
                <w:tcPr>
                  <w:tcW w:w="1200" w:type="pct"/>
                  <w:vAlign w:val="top"/>
                </w:tcPr>
                <w:p>
                  <w:r>
                    <w:t xml:space="preserve">3 (sentenced detention)</w:t>
                  </w:r>
                </w:p>
              </w:tc>
              <w:tc>
                <w:tcPr>
                  <w:tcW w:w="2300" w:type="pct"/>
                  <w:vAlign w:val="top"/>
                </w:tcPr>
                <w:p>
                  <w:r>
                    <w:t xml:space="preserve">May relate to multiple sentenced detention orders.</w:t>
                  </w:r>
                </w:p>
              </w:tc>
            </w:tr>
            <w:tr>
              <w:trPr/>
              <w:tc>
                <w:tcPr>
                  <w:tcW w:w="250" w:type="pct"/>
                  <w:vAlign w:val="top"/>
                </w:tcPr>
                <w:p>
                  <w:r>
                    <w:t xml:space="preserve">1</w:t>
                  </w:r>
                </w:p>
              </w:tc>
              <w:tc>
                <w:tcPr>
                  <w:tcW w:w="600" w:type="pct"/>
                  <w:vAlign w:val="top"/>
                </w:tcPr>
                <w:p>
                  <w:r>
                    <w:t xml:space="preserve">01/02/08</w:t>
                  </w:r>
                </w:p>
              </w:tc>
              <w:tc>
                <w:tcPr>
                  <w:tcW w:w="550" w:type="pct"/>
                  <w:vAlign w:val="top"/>
                </w:tcPr>
                <w:p>
                  <w:r>
                    <w:t xml:space="preserve">10/02/08</w:t>
                  </w:r>
                </w:p>
              </w:tc>
              <w:tc>
                <w:tcPr>
                  <w:tcW w:w="1200" w:type="pct"/>
                  <w:vAlign w:val="top"/>
                </w:tcPr>
                <w:p>
                  <w:r>
                    <w:t xml:space="preserve">2 (pre-sentence detention)</w:t>
                  </w:r>
                </w:p>
              </w:tc>
              <w:tc>
                <w:tcPr>
                  <w:tcW w:w="2300" w:type="pct"/>
                  <w:vAlign w:val="top"/>
                </w:tcPr>
                <w:p>
                  <w:r>
                    <w:t xml:space="preserve">Period of remand that begins and ends within period of sentenced detention.</w:t>
                  </w:r>
                </w:p>
              </w:tc>
            </w:tr>
            <w:tr>
              <w:trPr/>
              <w:tc>
                <w:tcPr>
                  <w:tcW w:w="250" w:type="pct"/>
                  <w:vAlign w:val="top"/>
                </w:tcPr>
                <w:p>
                  <w:r>
                    <w:t xml:space="preserve">1</w:t>
                  </w:r>
                </w:p>
              </w:tc>
              <w:tc>
                <w:tcPr>
                  <w:tcW w:w="600" w:type="pct"/>
                  <w:vAlign w:val="top"/>
                </w:tcPr>
                <w:p>
                  <w:r>
                    <w:t xml:space="preserve">01/08/08</w:t>
                  </w:r>
                </w:p>
              </w:tc>
              <w:tc>
                <w:tcPr>
                  <w:tcW w:w="550" w:type="pct"/>
                  <w:vAlign w:val="top"/>
                </w:tcPr>
                <w:p>
                  <w:r>
                    <w:t xml:space="preserve">01/12/08</w:t>
                  </w:r>
                </w:p>
              </w:tc>
              <w:tc>
                <w:tcPr>
                  <w:tcW w:w="1200" w:type="pct"/>
                  <w:vAlign w:val="top"/>
                </w:tcPr>
                <w:p>
                  <w:r>
                    <w:t xml:space="preserve">3 (sentenced detention)</w:t>
                  </w:r>
                </w:p>
              </w:tc>
              <w:tc>
                <w:tcPr>
                  <w:tcW w:w="2300" w:type="pct"/>
                  <w:vAlign w:val="top"/>
                </w:tcPr>
                <w:p>
                  <w:r>
                    <w:t xml:space="preserve">New period of sentenced detention.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b8202a004e4de3">
              <w:r>
                <w:rPr>
                  <w:rStyle w:val="Hyperlink"/>
                </w:rPr>
                <w:t xml:space="preserve">Juvenile Justice Detention file cluster</w:t>
              </w:r>
            </w:hyperlink>
          </w:p>
          <w:p>
            <w:pPr>
              <w:spacing w:before="0" w:after="0"/>
            </w:pPr>
            <w:r>
              <w:rPr>
                <w:rStyle w:val="row-content"/>
                <w:color w:val="244061"/>
              </w:rPr>
              <w:t xml:space="preserve">       </w:t>
            </w:r>
            <w:hyperlink w:history="true" r:id="Rc441e05ac0854545">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period of time a young person is detained in a youth justice remand or detention centre in relation to a particular detention type, without change in detention centre and without escaping or absconding.</w:t>
            </w:r>
          </w:p>
          <w:p>
            <w:r>
              <w:rPr>
                <w:rStyle w:val="row-content"/>
              </w:rP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hyperlink w:history="true" r:id="R45903d4d26444465">
              <w:r>
                <w:rPr>
                  <w:rStyle w:val="Hyperlink"/>
                </w:rPr>
                <w:t xml:space="preserve">Juvenile Justice Detention file cluster</w:t>
              </w:r>
            </w:hyperlink>
          </w:p>
          <w:p>
            <w:pPr>
              <w:spacing w:before="0" w:after="0"/>
            </w:pPr>
            <w:r>
              <w:rPr>
                <w:rStyle w:val="row-content"/>
                <w:color w:val="244061"/>
              </w:rPr>
              <w:t xml:space="preserve">       </w:t>
            </w:r>
            <w:hyperlink w:history="true" r:id="R0afb0a570d2d4976">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The period of time a young person is detained in a youth justice remand or detention centre in relation to a particular detention type, without change in detention centre and without escaping or absconding.</w:t>
            </w:r>
          </w:p>
          <w:p>
            <w:r>
              <w:rPr>
                <w:rStyle w:val="row-content"/>
              </w:rP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hyperlink w:history="true" r:id="R3378b910da374bc2">
              <w:r>
                <w:rPr>
                  <w:rStyle w:val="Hyperlink"/>
                </w:rPr>
                <w:t xml:space="preserve">Youth Justice Detention file cluster</w:t>
              </w:r>
            </w:hyperlink>
          </w:p>
          <w:p>
            <w:pPr>
              <w:spacing w:before="0" w:after="0"/>
            </w:pPr>
            <w:r>
              <w:rPr>
                <w:rStyle w:val="row-content"/>
                <w:color w:val="244061"/>
              </w:rPr>
              <w:t xml:space="preserve">       </w:t>
            </w:r>
            <w:hyperlink w:history="true" r:id="R4d5dd8887ad34976">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The period of time a person is detained in a remand or detention centre in relation to a particular detention type, without change in detention centre and without escaping or absconding.</w:t>
            </w:r>
          </w:p>
          <w:p>
            <w:r>
              <w:rPr>
                <w:rStyle w:val="row-content"/>
              </w:rP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rPr>
                <w:rStyle w:val="row-content"/>
              </w:rPr>
              <w:t xml:space="preserve"> </w:t>
            </w:r>
          </w:p>
          <w:p>
            <w:r>
              <w:br/>
            </w:r>
            <w:r>
              <w:br/>
            </w:r>
            <w:hyperlink w:history="true" r:id="Rbf75ad92ea334ffe">
              <w:r>
                <w:rPr>
                  <w:rStyle w:val="Hyperlink"/>
                </w:rPr>
                <w:t xml:space="preserve">Youth Justice Detention file cluster</w:t>
              </w:r>
            </w:hyperlink>
          </w:p>
          <w:p>
            <w:pPr>
              <w:spacing w:before="0" w:after="0"/>
            </w:pPr>
            <w:r>
              <w:rPr>
                <w:rStyle w:val="row-content"/>
                <w:color w:val="244061"/>
              </w:rPr>
              <w:t xml:space="preserve">       </w:t>
            </w:r>
            <w:hyperlink w:history="true" r:id="Raebde2544a654204">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The period of time a person is detained in a remand or detention centre in relation to a particular detention type, without change in detention centre and without escaping or absconding.</w:t>
            </w:r>
          </w:p>
          <w:p>
            <w:r>
              <w:rPr>
                <w:rStyle w:val="row-content"/>
              </w:rP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br/>
            </w:r>
            <w:r>
              <w:br/>
            </w:r>
          </w:p>
        </w:tc>
      </w:tr>
    </w:tbl>
    <w:p/>
    <w:tbl>
      <w:tblPr>
        <w:tblStyle w:val="TableGrid"/>
        <w:tblW w:w="0" w:type="auto"/>
      </w:tblPr>
    </w:tbl>
    <w:p>
      <w:r>
        <w:br/>
      </w:r>
    </w:p>
    <w:sectPr>
      <w:footerReference xmlns:r="http://schemas.openxmlformats.org/officeDocument/2006/relationships" w:type="default" r:id="R3232eca96e83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508301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9ae1ca6f249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2eca96e834000" /><Relationship Type="http://schemas.openxmlformats.org/officeDocument/2006/relationships/header" Target="/word/header1.xml" Id="R4faa400bbed24b69" /><Relationship Type="http://schemas.openxmlformats.org/officeDocument/2006/relationships/settings" Target="/word/settings.xml" Id="R1b06a2d2b7d344f7" /><Relationship Type="http://schemas.openxmlformats.org/officeDocument/2006/relationships/styles" Target="/word/styles.xml" Id="Rcb1410a81a024ea8" /><Relationship Type="http://schemas.openxmlformats.org/officeDocument/2006/relationships/hyperlink" Target="https://meteor.aihw.gov.au/RegistrationAuthority/4" TargetMode="External" Id="Rbf15da8e01284e88" /><Relationship Type="http://schemas.openxmlformats.org/officeDocument/2006/relationships/hyperlink" Target="https://meteor.aihw.gov.au/content/508299" TargetMode="External" Id="Re95a544e28bf4a7f" /><Relationship Type="http://schemas.openxmlformats.org/officeDocument/2006/relationships/hyperlink" Target="https://meteor.aihw.gov.au/RegistrationAuthority/4" TargetMode="External" Id="R6361a829491d43bb" /><Relationship Type="http://schemas.openxmlformats.org/officeDocument/2006/relationships/hyperlink" Target="https://meteor.aihw.gov.au/content/537116" TargetMode="External" Id="R89fd884f0fda4ac9" /><Relationship Type="http://schemas.openxmlformats.org/officeDocument/2006/relationships/hyperlink" Target="https://meteor.aihw.gov.au/content/508297" TargetMode="External" Id="R1e34a62d90b54eb4" /><Relationship Type="http://schemas.openxmlformats.org/officeDocument/2006/relationships/hyperlink" Target="https://meteor.aihw.gov.au/content/270566" TargetMode="External" Id="R85026f6eb4454f3e" /><Relationship Type="http://schemas.openxmlformats.org/officeDocument/2006/relationships/hyperlink" Target="https://meteor.aihw.gov.au/RegistrationAuthority/19" TargetMode="External" Id="Rf38b39bd128a4f89" /><Relationship Type="http://schemas.openxmlformats.org/officeDocument/2006/relationships/hyperlink" Target="https://meteor.aihw.gov.au/RegistrationAuthority/24" TargetMode="External" Id="Rb94aab22e3a74284" /><Relationship Type="http://schemas.openxmlformats.org/officeDocument/2006/relationships/hyperlink" Target="https://meteor.aihw.gov.au/RegistrationAuthority/23" TargetMode="External" Id="Re454fd84e927404c" /><Relationship Type="http://schemas.openxmlformats.org/officeDocument/2006/relationships/hyperlink" Target="https://meteor.aihw.gov.au/RegistrationAuthority/17" TargetMode="External" Id="R44f0678b5374466b" /><Relationship Type="http://schemas.openxmlformats.org/officeDocument/2006/relationships/hyperlink" Target="https://meteor.aihw.gov.au/RegistrationAuthority/10" TargetMode="External" Id="Rf6d1dab0554c45dd" /><Relationship Type="http://schemas.openxmlformats.org/officeDocument/2006/relationships/hyperlink" Target="https://meteor.aihw.gov.au/RegistrationAuthority/1" TargetMode="External" Id="R1e9e2cf25f0e4b61" /><Relationship Type="http://schemas.openxmlformats.org/officeDocument/2006/relationships/hyperlink" Target="https://meteor.aihw.gov.au/RegistrationAuthority/16" TargetMode="External" Id="Rf0314b8a4cee4c69" /><Relationship Type="http://schemas.openxmlformats.org/officeDocument/2006/relationships/hyperlink" Target="https://meteor.aihw.gov.au/RegistrationAuthority/13" TargetMode="External" Id="Rbbab9faabe9e4ea7" /><Relationship Type="http://schemas.openxmlformats.org/officeDocument/2006/relationships/hyperlink" Target="https://meteor.aihw.gov.au/RegistrationAuthority/12" TargetMode="External" Id="Rf1cfb8b82dce4e0a" /><Relationship Type="http://schemas.openxmlformats.org/officeDocument/2006/relationships/hyperlink" Target="https://meteor.aihw.gov.au/RegistrationAuthority/14" TargetMode="External" Id="Rbc768271377247f6" /><Relationship Type="http://schemas.openxmlformats.org/officeDocument/2006/relationships/hyperlink" Target="https://meteor.aihw.gov.au/RegistrationAuthority/11" TargetMode="External" Id="R9665c30b012b418d" /><Relationship Type="http://schemas.openxmlformats.org/officeDocument/2006/relationships/hyperlink" Target="https://meteor.aihw.gov.au/RegistrationAuthority/3" TargetMode="External" Id="R16ef25be903f40d7" /><Relationship Type="http://schemas.openxmlformats.org/officeDocument/2006/relationships/hyperlink" Target="https://meteor.aihw.gov.au/RegistrationAuthority/6" TargetMode="External" Id="Rfd427b65701a4a7a" /><Relationship Type="http://schemas.openxmlformats.org/officeDocument/2006/relationships/hyperlink" Target="https://meteor.aihw.gov.au/RegistrationAuthority/8" TargetMode="External" Id="R5d5a3b73f3794cf5" /><Relationship Type="http://schemas.openxmlformats.org/officeDocument/2006/relationships/hyperlink" Target="https://meteor.aihw.gov.au/RegistrationAuthority/15" TargetMode="External" Id="R0e15e35e44704fbb" /><Relationship Type="http://schemas.openxmlformats.org/officeDocument/2006/relationships/hyperlink" Target="https://meteor.aihw.gov.au/RegistrationAuthority/2" TargetMode="External" Id="R1160334679cc470e" /><Relationship Type="http://schemas.openxmlformats.org/officeDocument/2006/relationships/hyperlink" Target="https://meteor.aihw.gov.au/RegistrationAuthority/4" TargetMode="External" Id="R9f811c571e17446f" /><Relationship Type="http://schemas.openxmlformats.org/officeDocument/2006/relationships/hyperlink" Target="https://meteor.aihw.gov.au/content/466172" TargetMode="External" Id="Rd8b8202a004e4de3" /><Relationship Type="http://schemas.openxmlformats.org/officeDocument/2006/relationships/hyperlink" Target="https://meteor.aihw.gov.au/RegistrationAuthority/4" TargetMode="External" Id="Rc441e05ac0854545" /><Relationship Type="http://schemas.openxmlformats.org/officeDocument/2006/relationships/hyperlink" Target="https://meteor.aihw.gov.au/content/770863" TargetMode="External" Id="R45903d4d26444465" /><Relationship Type="http://schemas.openxmlformats.org/officeDocument/2006/relationships/hyperlink" Target="https://meteor.aihw.gov.au/RegistrationAuthority/4" TargetMode="External" Id="R0afb0a570d2d4976" /><Relationship Type="http://schemas.openxmlformats.org/officeDocument/2006/relationships/hyperlink" Target="https://meteor.aihw.gov.au/content/743931" TargetMode="External" Id="R3378b910da374bc2" /><Relationship Type="http://schemas.openxmlformats.org/officeDocument/2006/relationships/hyperlink" Target="https://meteor.aihw.gov.au/RegistrationAuthority/4" TargetMode="External" Id="R4d5dd8887ad34976" /><Relationship Type="http://schemas.openxmlformats.org/officeDocument/2006/relationships/hyperlink" Target="https://meteor.aihw.gov.au/content/744071" TargetMode="External" Id="Rbf75ad92ea334ffe" /><Relationship Type="http://schemas.openxmlformats.org/officeDocument/2006/relationships/hyperlink" Target="https://meteor.aihw.gov.au/RegistrationAuthority/4" TargetMode="External" Id="Raebde2544a654204" /></Relationships>
</file>

<file path=word/_rels/header1.xml.rels>&#65279;<?xml version="1.0" encoding="utf-8"?><Relationships xmlns="http://schemas.openxmlformats.org/package/2006/relationships"><Relationship Type="http://schemas.openxmlformats.org/officeDocument/2006/relationships/image" Target="/media/image.png" Id="Rc8a9ae1ca6f24919" /></Relationships>
</file>