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95e962fb8c49d0"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1dc0ea3044bb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65f1f705f324d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 .</w:t>
            </w:r>
          </w:p>
          <w:p>
            <w:pPr>
              <w:spacing w:after="160"/>
            </w:pPr>
            <w:r>
              <w:rPr>
                <w:rStyle w:val="row-content-rich-text"/>
              </w:rPr>
              <w:t xml:space="preserve">The activity and participation need for assistance cluster combines the two data elements:</w:t>
            </w:r>
            <w:r>
              <w:br/>
            </w:r>
            <w:hyperlink w:history="true" r:id="R1d99249341cb4d07">
              <w:r>
                <w:rPr>
                  <w:rStyle w:val="Hyperlink"/>
                  <w:i/>
                </w:rPr>
                <w:t xml:space="preserve">Person—activity and participation life area, disability flag code N</w:t>
              </w:r>
            </w:hyperlink>
            <w:r>
              <w:rPr>
                <w:rStyle w:val="row-content-rich-text"/>
              </w:rPr>
              <w:t xml:space="preserve"> and</w:t>
            </w:r>
            <w:r>
              <w:br/>
            </w:r>
            <w:hyperlink w:history="true" r:id="R440a63f1bdb144e4">
              <w:r>
                <w:rPr>
                  <w:rStyle w:val="Hyperlink"/>
                  <w:i/>
                </w:rPr>
                <w:t xml:space="preserve">Person—need for assistance with activities in a life area, disability flag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 </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It is expected that for children aged 5–14 years, the items in this cluster would be collected from a proxy (parent/guardian/teacher answering on the child's behalf).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Note that all people, both adults and children, are in scope for the Standardised Disability Flag questions.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including children,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p>
            <w:pPr>
              <w:pStyle w:val="ListParagraph"/>
              <w:numPr>
                <w:ilvl w:val="0"/>
                <w:numId w:val="3"/>
              </w:numPr>
            </w:pPr>
            <w:r>
              <w:rPr>
                <w:rStyle w:val="row-content-rich-text"/>
              </w:rPr>
              <w:t xml:space="preserve">Children should be assessed on the basis of their age and appropriateness of activities that other children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e9c8435f8c45ec">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6422e60eab73411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bf43f682b324ccd">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dbd8ba4bec3445b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0b6254ff5e4749">
              <w:r>
                <w:rPr>
                  <w:rStyle w:val="Hyperlink"/>
                </w:rPr>
                <w:t xml:space="preserve">Standardised disability flag module</w:t>
              </w:r>
            </w:hyperlink>
          </w:p>
          <w:p>
            <w:pPr>
              <w:spacing w:before="0" w:after="0"/>
            </w:pPr>
            <w:r>
              <w:rPr>
                <w:rStyle w:val="row-content"/>
                <w:color w:val="244061"/>
              </w:rPr>
              <w:t xml:space="preserve">       </w:t>
            </w:r>
            <w:hyperlink w:history="true" r:id="Ra398c8dfe0574ed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ea90f0d1a6a4e5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The Activity and participation need for assistance cluster (standardised disability flag) collects information through a functional/needs assessment approach</w:t>
            </w:r>
            <w:hyperlink w:history="true" r:id="R524ef6d617d14960">
              <w:r>
                <w:rPr>
                  <w:rStyle w:val="Hyperlink"/>
                </w:rPr>
                <w:t xml:space="preserve"> Assistance with activities (Standardised Disability Flag)</w:t>
              </w:r>
            </w:hyperlink>
            <w:r>
              <w:rPr>
                <w:rStyle w:val="row-content"/>
              </w:rPr>
              <w:t xml:space="preserve"> across specified activity and participation life areas </w:t>
            </w:r>
            <w:hyperlink w:history="true" r:id="R1f58a6eac2784134">
              <w:r>
                <w:rPr>
                  <w:rStyle w:val="Hyperlink"/>
                </w:rPr>
                <w:t xml:space="preserve">Activity and participation life area (Standardised Disability Flag)</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b60af1bd14465">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2c26018cc4552">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f979714b9b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f17818002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979714b9b41e8" /><Relationship Type="http://schemas.openxmlformats.org/officeDocument/2006/relationships/header" Target="/word/header1.xml" Id="Rd359a5a9761c4a15" /><Relationship Type="http://schemas.openxmlformats.org/officeDocument/2006/relationships/settings" Target="/word/settings.xml" Id="R96e96c89f9534766" /><Relationship Type="http://schemas.openxmlformats.org/officeDocument/2006/relationships/styles" Target="/word/styles.xml" Id="R80c0fdda4b2d4c10" /><Relationship Type="http://schemas.openxmlformats.org/officeDocument/2006/relationships/hyperlink" Target="https://meteor.aihw.gov.au/RegistrationAuthority/1" TargetMode="External" Id="R7bb1dc0ea3044bb8" /><Relationship Type="http://schemas.openxmlformats.org/officeDocument/2006/relationships/hyperlink" Target="https://meteor.aihw.gov.au/RegistrationAuthority/16" TargetMode="External" Id="Rf65f1f705f324d06" /><Relationship Type="http://schemas.openxmlformats.org/officeDocument/2006/relationships/hyperlink" Target="https://meteor.aihw.gov.au/content/505720" TargetMode="External" Id="R1d99249341cb4d07" /><Relationship Type="http://schemas.openxmlformats.org/officeDocument/2006/relationships/hyperlink" Target="https://meteor.aihw.gov.au/content/520803" TargetMode="External" Id="R440a63f1bdb144e4" /><Relationship Type="http://schemas.openxmlformats.org/officeDocument/2006/relationships/numbering" Target="/word/numbering.xml" Id="R321d1885a7364a85" /><Relationship Type="http://schemas.openxmlformats.org/officeDocument/2006/relationships/hyperlink" Target="https://meteor.aihw.gov.au/content/631693" TargetMode="External" Id="Rf6e9c8435f8c45ec" /><Relationship Type="http://schemas.openxmlformats.org/officeDocument/2006/relationships/hyperlink" Target="https://meteor.aihw.gov.au/RegistrationAuthority/12" TargetMode="External" Id="R6422e60eab734111" /><Relationship Type="http://schemas.openxmlformats.org/officeDocument/2006/relationships/hyperlink" Target="https://meteor.aihw.gov.au/content/768616" TargetMode="External" Id="R5bf43f682b324ccd" /><Relationship Type="http://schemas.openxmlformats.org/officeDocument/2006/relationships/hyperlink" Target="https://meteor.aihw.gov.au/RegistrationAuthority/12" TargetMode="External" Id="Rdbd8ba4bec3445bc" /><Relationship Type="http://schemas.openxmlformats.org/officeDocument/2006/relationships/hyperlink" Target="https://meteor.aihw.gov.au/content/521050" TargetMode="External" Id="Rcc0b6254ff5e4749" /><Relationship Type="http://schemas.openxmlformats.org/officeDocument/2006/relationships/hyperlink" Target="https://meteor.aihw.gov.au/RegistrationAuthority/1" TargetMode="External" Id="Ra398c8dfe0574ed8" /><Relationship Type="http://schemas.openxmlformats.org/officeDocument/2006/relationships/hyperlink" Target="https://meteor.aihw.gov.au/RegistrationAuthority/16" TargetMode="External" Id="R4ea90f0d1a6a4e51" /><Relationship Type="http://schemas.openxmlformats.org/officeDocument/2006/relationships/hyperlink" Target="https://meteor.aihw.gov.au/content/520803" TargetMode="External" Id="R524ef6d617d14960" /><Relationship Type="http://schemas.openxmlformats.org/officeDocument/2006/relationships/hyperlink" Target="https://meteor.aihw.gov.au/content/505720" TargetMode="External" Id="R1f58a6eac2784134" /><Relationship Type="http://schemas.openxmlformats.org/officeDocument/2006/relationships/hyperlink" Target="https://meteor.aihw.gov.au/content/505720" TargetMode="External" Id="Re1bb60af1bd14465" /><Relationship Type="http://schemas.openxmlformats.org/officeDocument/2006/relationships/hyperlink" Target="https://meteor.aihw.gov.au/content/520803" TargetMode="External" Id="R93e2c26018cc4552" /></Relationships>
</file>

<file path=word/_rels/header1.xml.rels>&#65279;<?xml version="1.0" encoding="utf-8"?><Relationships xmlns="http://schemas.openxmlformats.org/package/2006/relationships"><Relationship Type="http://schemas.openxmlformats.org/officeDocument/2006/relationships/image" Target="/media/image.png" Id="R64af178180024a9e" /></Relationships>
</file>