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86072dc04c4b5a" /></Relationships>
</file>

<file path=word/document.xml><?xml version="1.0" encoding="utf-8"?>
<w:document xmlns:r="http://schemas.openxmlformats.org/officeDocument/2006/relationships" xmlns:w="http://schemas.openxmlformats.org/wordprocessingml/2006/main">
  <w:body>
    <w:p>
      <w:pPr>
        <w:pStyle w:val="Title"/>
      </w:pPr>
      <w:r>
        <w:t>Person—activity and participation life area, disability flag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Person—activity and participation life area, disability flag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Activity and participation life area (Standardised Disability Flag)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505720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4816b09f3e94e02">
              <w:r>
                <w:rPr>
                  <w:rStyle w:val="Hyperlink"/>
                  <w:color w:val="244061"/>
                </w:rPr>
                <w:t xml:space="preserve">Community Services (retired)</w:t>
              </w:r>
            </w:hyperlink>
            <w:r>
              <w:rPr>
                <w:rStyle w:val="row-content"/>
                <w:color w:val="244061"/>
              </w:rPr>
              <w:t xml:space="preserve">, Standard 19/09/2013</w:t>
            </w:r>
          </w:p>
          <w:p>
            <w:pPr>
              <w:spacing w:before="0" w:after="0"/>
            </w:pPr>
            <w:hyperlink w:history="true" r:id="R0a2e3b3225014e05">
              <w:r>
                <w:rPr>
                  <w:rStyle w:val="Hyperlink"/>
                  <w:color w:val="244061"/>
                </w:rPr>
                <w:t xml:space="preserve">Disability</w:t>
              </w:r>
            </w:hyperlink>
            <w:r>
              <w:rPr>
                <w:rStyle w:val="row-content"/>
                <w:color w:val="244061"/>
              </w:rPr>
              <w:t xml:space="preserve">, Standard 13/08/2015</w:t>
            </w:r>
          </w:p>
          <w:p>
            <w:pPr>
              <w:spacing w:before="0" w:after="0"/>
            </w:pPr>
            <w:hyperlink w:history="true" r:id="R4a46229d02f94ece">
              <w:r>
                <w:rPr>
                  <w:rStyle w:val="Hyperlink"/>
                  <w:color w:val="244061"/>
                </w:rPr>
                <w:t xml:space="preserve">Health</w:t>
              </w:r>
            </w:hyperlink>
            <w:r>
              <w:rPr>
                <w:rStyle w:val="row-content"/>
                <w:color w:val="244061"/>
              </w:rPr>
              <w:t xml:space="preserve">, Standard 28/04/2016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life area in which a person participates or undertakes activities,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standardised disability flag aims to identify people with activity limitations through a functional/needs assessment approach across specified activity and participation life areas.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cc38acc13b046a9">
              <w:r>
                <w:rPr>
                  <w:rStyle w:val="Hyperlink"/>
                </w:rPr>
                <w:t xml:space="preserve">Person—activity and participation life area</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70e0755cf49a433e">
              <w:r>
                <w:rPr>
                  <w:rStyle w:val="Hyperlink"/>
                </w:rPr>
                <w:t xml:space="preserve">Activity and participation life area disability flag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Self-care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Mobility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Learning and applying knowledge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Managing things around the home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Managing tasks and handling situations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Personal relationships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Community life</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Self-care </w:t>
            </w:r>
          </w:p>
          <w:p>
            <w:pPr>
              <w:spacing w:after="160"/>
            </w:pPr>
            <w:r>
              <w:rPr>
                <w:rStyle w:val="row-content-rich-text"/>
              </w:rPr>
              <w:t xml:space="preserve">This includes showering or bathing; dressing or undressing; toileting; eating food.</w:t>
            </w:r>
          </w:p>
          <w:p>
            <w:pPr>
              <w:spacing w:after="160"/>
            </w:pPr>
            <w:r>
              <w:rPr>
                <w:rStyle w:val="row-content-rich-text"/>
              </w:rPr>
              <w:t xml:space="preserve">CODE 2 Mobility</w:t>
            </w:r>
          </w:p>
          <w:p>
            <w:pPr>
              <w:spacing w:after="160"/>
            </w:pPr>
            <w:r>
              <w:rPr>
                <w:rStyle w:val="row-content-rich-text"/>
              </w:rPr>
              <w:t xml:space="preserve">This includes moving around the house; moving around outside the home; getting in or out of a chair; using public transport.</w:t>
            </w:r>
          </w:p>
          <w:p>
            <w:pPr>
              <w:spacing w:after="160"/>
            </w:pPr>
            <w:r>
              <w:rPr>
                <w:rStyle w:val="row-content-rich-text"/>
              </w:rPr>
              <w:t xml:space="preserve">Animals used for personal mobility (that is, guide dogs and companion animals) are generally considered to fall into the category of aids and/or equipment. Also included within this category are prosthetic and orthotic devices, wheelchairs, transfer devices, etc.</w:t>
            </w:r>
          </w:p>
          <w:p>
            <w:pPr>
              <w:spacing w:after="160"/>
            </w:pPr>
            <w:r>
              <w:rPr>
                <w:rStyle w:val="row-content-rich-text"/>
              </w:rPr>
              <w:t xml:space="preserve">CODE 3 Communication</w:t>
            </w:r>
          </w:p>
          <w:p>
            <w:pPr>
              <w:spacing w:after="160"/>
            </w:pPr>
            <w:r>
              <w:rPr>
                <w:rStyle w:val="row-content-rich-text"/>
              </w:rPr>
              <w:t xml:space="preserve">This includes understanding or being understood by other people, including people you know; using a telephone.</w:t>
            </w:r>
          </w:p>
          <w:p>
            <w:pPr>
              <w:spacing w:after="160"/>
            </w:pPr>
            <w:r>
              <w:rPr>
                <w:rStyle w:val="row-content-rich-text"/>
              </w:rPr>
              <w:t xml:space="preserve">For this life area, a person’s level of difficulty is assessed in terms of whether they can understand, or be understood, in their native language or preferred method of communication. This can include both written and verbal communication and it does not refer to situations where the respondent can’t read or write because they did not have an opportunity to access education. Interpreters for language are considered to provide personal assistance, and are not considered aids and/or equipment.</w:t>
            </w:r>
          </w:p>
          <w:p>
            <w:pPr>
              <w:spacing w:after="160"/>
            </w:pPr>
            <w:r>
              <w:rPr>
                <w:rStyle w:val="row-content-rich-text"/>
              </w:rPr>
              <w:t xml:space="preserve">CODE 4 Learning and applying knowledge </w:t>
            </w:r>
          </w:p>
          <w:p>
            <w:pPr>
              <w:spacing w:after="160"/>
            </w:pPr>
            <w:r>
              <w:rPr>
                <w:rStyle w:val="row-content-rich-text"/>
              </w:rPr>
              <w:t xml:space="preserve">This includes keeping focused on things; learning new things; solving problems; making decisions.</w:t>
            </w:r>
          </w:p>
          <w:p>
            <w:pPr>
              <w:spacing w:after="160"/>
            </w:pPr>
            <w:r>
              <w:rPr>
                <w:rStyle w:val="row-content-rich-text"/>
              </w:rPr>
              <w:t xml:space="preserve">CODE 5 Managing things around the home</w:t>
            </w:r>
          </w:p>
          <w:p>
            <w:pPr>
              <w:spacing w:after="160"/>
            </w:pPr>
            <w:r>
              <w:rPr>
                <w:rStyle w:val="row-content-rich-text"/>
              </w:rPr>
              <w:t xml:space="preserve">This includes getting groceries; preparing meals; doing washing or cleaning; taking care of pets.</w:t>
            </w:r>
          </w:p>
          <w:p>
            <w:pPr>
              <w:spacing w:after="160"/>
            </w:pPr>
            <w:r>
              <w:rPr>
                <w:rStyle w:val="row-content-rich-text"/>
              </w:rPr>
              <w:t xml:space="preserve">CODE 6 Managing tasks and handling situations</w:t>
            </w:r>
          </w:p>
          <w:p>
            <w:pPr>
              <w:spacing w:after="160"/>
            </w:pPr>
            <w:r>
              <w:rPr>
                <w:rStyle w:val="row-content-rich-text"/>
              </w:rPr>
              <w:t xml:space="preserve">This includes managing daily routine; managing time; planning activities; coping with pressure or stressful situations.</w:t>
            </w:r>
          </w:p>
          <w:p>
            <w:pPr>
              <w:spacing w:after="160"/>
            </w:pPr>
            <w:r>
              <w:rPr>
                <w:rStyle w:val="row-content-rich-text"/>
              </w:rPr>
              <w:t xml:space="preserve">CODE 7 Personal relationships  </w:t>
            </w:r>
          </w:p>
          <w:p>
            <w:pPr>
              <w:spacing w:after="160"/>
            </w:pPr>
            <w:r>
              <w:rPr>
                <w:rStyle w:val="row-content-rich-text"/>
              </w:rPr>
              <w:t xml:space="preserve">This includes making friends; meeting new people; showing respect to others; coping with feelings and emotions.</w:t>
            </w:r>
          </w:p>
          <w:p>
            <w:pPr>
              <w:spacing w:after="160"/>
            </w:pPr>
            <w:r>
              <w:rPr>
                <w:rStyle w:val="row-content-rich-text"/>
              </w:rPr>
              <w:t xml:space="preserve">CODE 8 Community life </w:t>
            </w:r>
          </w:p>
          <w:p>
            <w:pPr>
              <w:spacing w:after="160"/>
            </w:pPr>
            <w:r>
              <w:rPr>
                <w:rStyle w:val="row-content-rich-text"/>
              </w:rPr>
              <w:t xml:space="preserve">This includes participating in sports, leisure or religious activities; being part of a social club or organisation.</w:t>
            </w:r>
            <w:r>
              <w:br/>
            </w:r>
            <w:r>
              <w:rPr>
                <w:rStyle w:val="row-content-rich-text"/>
              </w:rPr>
              <w:t xml:space="preserve"> </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each of the life areas, provide examples of activities and explain to the respondent that the following questions are asked in the context of a long-term health condition or disability that has lasted, or is expected to last, 6 months or more.</w:t>
            </w:r>
          </w:p>
          <w:p>
            <w:pPr>
              <w:spacing w:after="160"/>
            </w:pPr>
            <w:r>
              <w:rPr>
                <w:rStyle w:val="row-content-rich-text"/>
              </w:rPr>
              <w:t xml:space="preserve">Note that this is seeking to identify if, due to a long-term health condition or disability, a respondent cannot undertake everyday activities that other people in a similar age group would normally be able to carry out.</w:t>
            </w:r>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This codeset is based on the nine 'Activities and participation' domains of the International Classification of Functioning, Disability and Health (WHO 2001).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WHO (World Health Organization) 2001. International classification of functioning, disability and health. Geneva: WHO.</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element, along with </w:t>
            </w:r>
            <w:hyperlink w:history="true" r:id="R4d4ed9b0f0794eac">
              <w:r>
                <w:rPr>
                  <w:rStyle w:val="Hyperlink"/>
                </w:rPr>
                <w:t xml:space="preserve">Person—need for assistance with activities in a life area, disability flag code N</w:t>
              </w:r>
            </w:hyperlink>
            <w:r>
              <w:rPr>
                <w:rStyle w:val="row-content-rich-text"/>
              </w:rPr>
              <w:t xml:space="preserve">, enables an assessment of a person's level of difficulty and need for assistance in life areas, leading to classification of extent of activity limitation.</w:t>
            </w:r>
          </w:p>
          <w:p>
            <w:pPr>
              <w:spacing w:after="160"/>
            </w:pPr>
            <w:r>
              <w:rPr>
                <w:rStyle w:val="row-content-rich-text"/>
              </w:rPr>
              <w:t xml:space="preserve">In the context of health, an activity is the execution of a task or action by an individual. An activity limitation is a difficulty an individual may have in executing an activity. Activity limitation varies with the environment, and is assessed in relation to a particular environment; the absence or presence of assistance, including aids, equipment and medications, is an aspect of the environment.</w:t>
            </w:r>
          </w:p>
          <w:p>
            <w:pPr/>
            <w:r>
              <w:rPr>
                <w:rStyle w:val="row-content-rich-text"/>
              </w:rPr>
              <w:t xml:space="preserve">For the 'Communication' life area, a person's level of difficulty is assessed in terms of whether they can understand, or be understood, in their native language or preferred method of communication.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is designed for the whole mainstream population and should be used to collect information directly from the respondent, or a proxy/carer answering on their behalf. The responses are phrased in response to the question 'For each of the following activities, do you need help/supervision, have difficulty, or use aids/equipment/medication? (choose one answer for each row)'.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Is used in the formation of </w:t>
            </w:r>
            <w:hyperlink w:history="true" r:id="Rce0af739c23f4b1d">
              <w:r>
                <w:rPr>
                  <w:rStyle w:val="Hyperlink"/>
                </w:rPr>
                <w:t xml:space="preserve">Person—activity limitation, disability flag code N</w:t>
              </w:r>
            </w:hyperlink>
          </w:p>
          <w:p>
            <w:pPr>
              <w:pStyle w:val="registration-status"/>
              <w:spacing w:before="0" w:after="0"/>
            </w:pPr>
            <w:hyperlink w:history="true" r:id="Rd28ae21cf61c4a46">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442ba607484b442d">
              <w:r>
                <w:rPr>
                  <w:rStyle w:val="Hyperlink"/>
                  <w:color w:val="244061"/>
                </w:rPr>
                <w:t xml:space="preserve">Disability</w:t>
              </w:r>
            </w:hyperlink>
            <w:r>
              <w:rPr>
                <w:rStyle w:val="row-content"/>
                <w:color w:val="244061"/>
              </w:rPr>
              <w:t xml:space="preserve">, Standard 13/08/2015</w:t>
            </w:r>
          </w:p>
          <w:p>
            <w:r>
              <w:br/>
            </w:r>
            <w:r>
              <w:rPr>
                <w:rStyle w:val="row-content"/>
              </w:rPr>
              <w:t xml:space="preserve">Is used in the formation of </w:t>
            </w:r>
            <w:hyperlink w:history="true" r:id="R4b15a453c4924f48">
              <w:r>
                <w:rPr>
                  <w:rStyle w:val="Hyperlink"/>
                </w:rPr>
                <w:t xml:space="preserve">Person—extent of activity limitation, disability flag code N</w:t>
              </w:r>
            </w:hyperlink>
          </w:p>
          <w:p>
            <w:pPr>
              <w:pStyle w:val="registration-status"/>
              <w:spacing w:before="0" w:after="0"/>
            </w:pPr>
            <w:hyperlink w:history="true" r:id="R636265d17f5a4f2b">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5cdc13c12bcf48f1">
              <w:r>
                <w:rPr>
                  <w:rStyle w:val="Hyperlink"/>
                  <w:color w:val="244061"/>
                </w:rPr>
                <w:t xml:space="preserve">Disability</w:t>
              </w:r>
            </w:hyperlink>
            <w:r>
              <w:rPr>
                <w:rStyle w:val="row-content"/>
                <w:color w:val="244061"/>
              </w:rPr>
              <w:t xml:space="preserve">, Standard 13/08/2015</w:t>
            </w:r>
          </w:p>
          <w:p>
            <w:r>
              <w:br/>
            </w:r>
            <w:r>
              <w:rPr>
                <w:rStyle w:val="row-content"/>
              </w:rPr>
              <w:t xml:space="preserve">Is used in the formation of </w:t>
            </w:r>
            <w:hyperlink w:history="true" r:id="R88ccd963f9d24ede">
              <w:r>
                <w:rPr>
                  <w:rStyle w:val="Hyperlink"/>
                </w:rPr>
                <w:t xml:space="preserve">Person—extent of core activity limitation, disability flag code N</w:t>
              </w:r>
            </w:hyperlink>
          </w:p>
          <w:p>
            <w:pPr>
              <w:pStyle w:val="registration-status"/>
              <w:spacing w:before="0" w:after="0"/>
            </w:pPr>
            <w:hyperlink w:history="true" r:id="R542201c98c274eef">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bd0188c59d4446c0">
              <w:r>
                <w:rPr>
                  <w:rStyle w:val="Hyperlink"/>
                  <w:color w:val="244061"/>
                </w:rPr>
                <w:t xml:space="preserve">Disability</w:t>
              </w:r>
            </w:hyperlink>
            <w:r>
              <w:rPr>
                <w:rStyle w:val="row-content"/>
                <w:color w:val="244061"/>
              </w:rPr>
              <w:t xml:space="preserve">, Standard 13/08/2015</w:t>
            </w:r>
          </w:p>
          <w:p>
            <w:r>
              <w:br/>
            </w:r>
            <w:r>
              <w:rPr>
                <w:rStyle w:val="row-content"/>
              </w:rPr>
              <w:t xml:space="preserve">See also </w:t>
            </w:r>
            <w:hyperlink w:history="true" r:id="R804b0193dfe045eb">
              <w:r>
                <w:rPr>
                  <w:rStyle w:val="Hyperlink"/>
                </w:rPr>
                <w:t xml:space="preserve">Person—need for assistance with activities in a life area, disability flag code N</w:t>
              </w:r>
            </w:hyperlink>
          </w:p>
          <w:p>
            <w:pPr>
              <w:pStyle w:val="registration-status"/>
              <w:spacing w:before="0" w:after="0"/>
            </w:pPr>
            <w:hyperlink w:history="true" r:id="R7dabd69c42e94c8e">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96fdc7ef8faa449e">
              <w:r>
                <w:rPr>
                  <w:rStyle w:val="Hyperlink"/>
                  <w:color w:val="244061"/>
                </w:rPr>
                <w:t xml:space="preserve">Disability</w:t>
              </w:r>
            </w:hyperlink>
            <w:r>
              <w:rPr>
                <w:rStyle w:val="row-content"/>
                <w:color w:val="244061"/>
              </w:rPr>
              <w:t xml:space="preserve">, Standard 13/08/2015</w:t>
            </w:r>
          </w:p>
          <w:p>
            <w:r>
              <w:br/>
            </w:r>
            <w:r>
              <w:rPr>
                <w:rStyle w:val="row-content"/>
              </w:rPr>
              <w:t xml:space="preserve">See also </w:t>
            </w:r>
            <w:hyperlink w:history="true" r:id="R83f55a683f9844f0">
              <w:r>
                <w:rPr>
                  <w:rStyle w:val="Hyperlink"/>
                </w:rPr>
                <w:t xml:space="preserve">Person—need for assistance with activities in a life area, disability flag prisoner health code N</w:t>
              </w:r>
            </w:hyperlink>
          </w:p>
          <w:p>
            <w:pPr>
              <w:pStyle w:val="registration-status"/>
              <w:spacing w:before="0" w:after="0"/>
            </w:pPr>
            <w:hyperlink w:history="true" r:id="Rcaa58ba815a6476c">
              <w:r>
                <w:rPr>
                  <w:rStyle w:val="Hyperlink"/>
                  <w:color w:val="244061"/>
                </w:rPr>
                <w:t xml:space="preserve">Health</w:t>
              </w:r>
            </w:hyperlink>
            <w:r>
              <w:rPr>
                <w:rStyle w:val="row-content"/>
                <w:color w:val="244061"/>
              </w:rPr>
              <w:t xml:space="preserve">, Standard 29/05/2024</w:t>
            </w:r>
          </w:p>
          <w:p>
            <w:r>
              <w:br/>
            </w:r>
            <w:r>
              <w:rPr>
                <w:rStyle w:val="row-content"/>
              </w:rPr>
              <w:t xml:space="preserve">See also </w:t>
            </w:r>
            <w:hyperlink w:history="true" r:id="R64555cdd7c9c4e5c">
              <w:r>
                <w:rPr>
                  <w:rStyle w:val="Hyperlink"/>
                </w:rPr>
                <w:t xml:space="preserve">Person—need for assistance with activities in a life area, disability flag prisoner health code N</w:t>
              </w:r>
            </w:hyperlink>
          </w:p>
          <w:p>
            <w:pPr>
              <w:pStyle w:val="registration-status"/>
              <w:spacing w:before="0" w:after="0"/>
            </w:pPr>
            <w:hyperlink w:history="true" r:id="R41cf773164394a77">
              <w:r>
                <w:rPr>
                  <w:rStyle w:val="Hyperlink"/>
                  <w:color w:val="244061"/>
                </w:rPr>
                <w:t xml:space="preserve">Health</w:t>
              </w:r>
            </w:hyperlink>
            <w:r>
              <w:rPr>
                <w:rStyle w:val="row-content"/>
                <w:color w:val="244061"/>
              </w:rPr>
              <w:t xml:space="preserve">, Superseded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d008a31cf0a4614">
              <w:r>
                <w:rPr>
                  <w:rStyle w:val="Hyperlink"/>
                </w:rPr>
                <w:t xml:space="preserve">Activity and participation need for assistance cluster (disability flag prisoner health)</w:t>
              </w:r>
            </w:hyperlink>
          </w:p>
          <w:p>
            <w:pPr>
              <w:pStyle w:val="registration-status"/>
              <w:spacing w:before="0" w:after="0"/>
            </w:pPr>
            <w:hyperlink w:history="true" r:id="Re1213a4950d34f14">
              <w:r>
                <w:rPr>
                  <w:rStyle w:val="Hyperlink"/>
                  <w:color w:val="244061"/>
                </w:rPr>
                <w:t xml:space="preserve">Health</w:t>
              </w:r>
            </w:hyperlink>
            <w:r>
              <w:rPr>
                <w:rStyle w:val="row-content"/>
                <w:color w:val="244061"/>
              </w:rPr>
              <w:t xml:space="preserve">, Superseded 29/05/2024</w:t>
            </w:r>
          </w:p>
          <w:p>
            <w:r>
              <w:br/>
            </w:r>
            <w:hyperlink w:history="true" r:id="R9361b1f72258456f">
              <w:r>
                <w:rPr>
                  <w:rStyle w:val="Hyperlink"/>
                </w:rPr>
                <w:t xml:space="preserve">Activity and participation need for assistance cluster (disability flag prisoner health)</w:t>
              </w:r>
            </w:hyperlink>
          </w:p>
          <w:p>
            <w:pPr>
              <w:pStyle w:val="registration-status"/>
              <w:spacing w:before="0" w:after="0"/>
            </w:pPr>
            <w:hyperlink w:history="true" r:id="R8af88c1cbcf5413a">
              <w:r>
                <w:rPr>
                  <w:rStyle w:val="Hyperlink"/>
                  <w:color w:val="244061"/>
                </w:rPr>
                <w:t xml:space="preserve">Health</w:t>
              </w:r>
            </w:hyperlink>
            <w:r>
              <w:rPr>
                <w:rStyle w:val="row-content"/>
                <w:color w:val="244061"/>
              </w:rPr>
              <w:t xml:space="preserve">, Standard 29/05/2024</w:t>
            </w:r>
          </w:p>
          <w:p>
            <w:r>
              <w:br/>
            </w:r>
            <w:hyperlink w:history="true" r:id="R59a74a5b8e654da4">
              <w:r>
                <w:rPr>
                  <w:rStyle w:val="Hyperlink"/>
                </w:rPr>
                <w:t xml:space="preserve">Activity and participation need for assistance cluster (disability flag)</w:t>
              </w:r>
            </w:hyperlink>
          </w:p>
          <w:p>
            <w:pPr>
              <w:pStyle w:val="registration-status"/>
              <w:spacing w:before="0" w:after="0"/>
            </w:pPr>
            <w:hyperlink w:history="true" r:id="Rd01c1671b5ac4df5">
              <w:r>
                <w:rPr>
                  <w:rStyle w:val="Hyperlink"/>
                  <w:color w:val="244061"/>
                </w:rPr>
                <w:t xml:space="preserve">Community Services (retired)</w:t>
              </w:r>
            </w:hyperlink>
            <w:r>
              <w:rPr>
                <w:rStyle w:val="row-content"/>
                <w:color w:val="244061"/>
              </w:rPr>
              <w:t xml:space="preserve">, Standard 19/09/2013</w:t>
            </w:r>
          </w:p>
          <w:p>
            <w:pPr>
              <w:pStyle w:val="registration-status"/>
              <w:spacing w:before="0" w:after="0"/>
            </w:pPr>
            <w:hyperlink w:history="true" r:id="R1168716b778a4d4a">
              <w:r>
                <w:rPr>
                  <w:rStyle w:val="Hyperlink"/>
                  <w:color w:val="244061"/>
                </w:rPr>
                <w:t xml:space="preserve">Disability</w:t>
              </w:r>
            </w:hyperlink>
            <w:r>
              <w:rPr>
                <w:rStyle w:val="row-content"/>
                <w:color w:val="244061"/>
              </w:rPr>
              <w:t xml:space="preserve">, Standard 13/08/2015</w:t>
            </w:r>
          </w:p>
          <w:p>
            <w:r>
              <w:br/>
            </w:r>
          </w:p>
        </w:tc>
      </w:tr>
    </w:tbl>
    <w:p/>
    <w:tbl>
      <w:tblPr>
        <w:tblStyle w:val="TableGrid"/>
        <w:tblW w:w="0" w:type="auto"/>
      </w:tblPr>
    </w:tbl>
    <w:p>
      <w:r>
        <w:br/>
      </w:r>
    </w:p>
    <w:sectPr>
      <w:footerReference xmlns:r="http://schemas.openxmlformats.org/officeDocument/2006/relationships" w:type="default" r:id="R2748a667664f4c2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505720</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50cffb062af45b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748a667664f4c23" /><Relationship Type="http://schemas.openxmlformats.org/officeDocument/2006/relationships/header" Target="/word/header1.xml" Id="R94b53329a0574790" /><Relationship Type="http://schemas.openxmlformats.org/officeDocument/2006/relationships/settings" Target="/word/settings.xml" Id="R6cdcddcf3faa44a4" /><Relationship Type="http://schemas.openxmlformats.org/officeDocument/2006/relationships/styles" Target="/word/styles.xml" Id="R88ee6689d37f4def" /><Relationship Type="http://schemas.openxmlformats.org/officeDocument/2006/relationships/hyperlink" Target="https://meteor.aihw.gov.au/RegistrationAuthority/1" TargetMode="External" Id="R64816b09f3e94e02" /><Relationship Type="http://schemas.openxmlformats.org/officeDocument/2006/relationships/hyperlink" Target="https://meteor.aihw.gov.au/RegistrationAuthority/16" TargetMode="External" Id="R0a2e3b3225014e05" /><Relationship Type="http://schemas.openxmlformats.org/officeDocument/2006/relationships/hyperlink" Target="https://meteor.aihw.gov.au/RegistrationAuthority/12" TargetMode="External" Id="R4a46229d02f94ece" /><Relationship Type="http://schemas.openxmlformats.org/officeDocument/2006/relationships/hyperlink" Target="https://meteor.aihw.gov.au/content/324435" TargetMode="External" Id="Rfcc38acc13b046a9" /><Relationship Type="http://schemas.openxmlformats.org/officeDocument/2006/relationships/hyperlink" Target="https://meteor.aihw.gov.au/content/505702" TargetMode="External" Id="R70e0755cf49a433e" /><Relationship Type="http://schemas.openxmlformats.org/officeDocument/2006/relationships/hyperlink" Target="https://meteor.aihw.gov.au/content/520803" TargetMode="External" Id="R4d4ed9b0f0794eac" /><Relationship Type="http://schemas.openxmlformats.org/officeDocument/2006/relationships/hyperlink" Target="https://meteor.aihw.gov.au/content/533815" TargetMode="External" Id="Rce0af739c23f4b1d" /><Relationship Type="http://schemas.openxmlformats.org/officeDocument/2006/relationships/hyperlink" Target="https://meteor.aihw.gov.au/RegistrationAuthority/1" TargetMode="External" Id="Rd28ae21cf61c4a46" /><Relationship Type="http://schemas.openxmlformats.org/officeDocument/2006/relationships/hyperlink" Target="https://meteor.aihw.gov.au/RegistrationAuthority/16" TargetMode="External" Id="R442ba607484b442d" /><Relationship Type="http://schemas.openxmlformats.org/officeDocument/2006/relationships/hyperlink" Target="https://meteor.aihw.gov.au/content/521009" TargetMode="External" Id="R4b15a453c4924f48" /><Relationship Type="http://schemas.openxmlformats.org/officeDocument/2006/relationships/hyperlink" Target="https://meteor.aihw.gov.au/RegistrationAuthority/1" TargetMode="External" Id="R636265d17f5a4f2b" /><Relationship Type="http://schemas.openxmlformats.org/officeDocument/2006/relationships/hyperlink" Target="https://meteor.aihw.gov.au/RegistrationAuthority/16" TargetMode="External" Id="R5cdc13c12bcf48f1" /><Relationship Type="http://schemas.openxmlformats.org/officeDocument/2006/relationships/hyperlink" Target="https://meteor.aihw.gov.au/content/541585" TargetMode="External" Id="R88ccd963f9d24ede" /><Relationship Type="http://schemas.openxmlformats.org/officeDocument/2006/relationships/hyperlink" Target="https://meteor.aihw.gov.au/RegistrationAuthority/1" TargetMode="External" Id="R542201c98c274eef" /><Relationship Type="http://schemas.openxmlformats.org/officeDocument/2006/relationships/hyperlink" Target="https://meteor.aihw.gov.au/RegistrationAuthority/16" TargetMode="External" Id="Rbd0188c59d4446c0" /><Relationship Type="http://schemas.openxmlformats.org/officeDocument/2006/relationships/hyperlink" Target="https://meteor.aihw.gov.au/content/520803" TargetMode="External" Id="R804b0193dfe045eb" /><Relationship Type="http://schemas.openxmlformats.org/officeDocument/2006/relationships/hyperlink" Target="https://meteor.aihw.gov.au/RegistrationAuthority/1" TargetMode="External" Id="R7dabd69c42e94c8e" /><Relationship Type="http://schemas.openxmlformats.org/officeDocument/2006/relationships/hyperlink" Target="https://meteor.aihw.gov.au/RegistrationAuthority/16" TargetMode="External" Id="R96fdc7ef8faa449e" /><Relationship Type="http://schemas.openxmlformats.org/officeDocument/2006/relationships/hyperlink" Target="https://meteor.aihw.gov.au/content/768622" TargetMode="External" Id="R83f55a683f9844f0" /><Relationship Type="http://schemas.openxmlformats.org/officeDocument/2006/relationships/hyperlink" Target="https://meteor.aihw.gov.au/RegistrationAuthority/12" TargetMode="External" Id="Rcaa58ba815a6476c" /><Relationship Type="http://schemas.openxmlformats.org/officeDocument/2006/relationships/hyperlink" Target="https://meteor.aihw.gov.au/content/631685" TargetMode="External" Id="R64555cdd7c9c4e5c" /><Relationship Type="http://schemas.openxmlformats.org/officeDocument/2006/relationships/hyperlink" Target="https://meteor.aihw.gov.au/RegistrationAuthority/12" TargetMode="External" Id="R41cf773164394a77" /><Relationship Type="http://schemas.openxmlformats.org/officeDocument/2006/relationships/hyperlink" Target="https://meteor.aihw.gov.au/content/631693" TargetMode="External" Id="R8d008a31cf0a4614" /><Relationship Type="http://schemas.openxmlformats.org/officeDocument/2006/relationships/hyperlink" Target="https://meteor.aihw.gov.au/RegistrationAuthority/12" TargetMode="External" Id="Re1213a4950d34f14" /><Relationship Type="http://schemas.openxmlformats.org/officeDocument/2006/relationships/hyperlink" Target="https://meteor.aihw.gov.au/content/768616" TargetMode="External" Id="R9361b1f72258456f" /><Relationship Type="http://schemas.openxmlformats.org/officeDocument/2006/relationships/hyperlink" Target="https://meteor.aihw.gov.au/RegistrationAuthority/12" TargetMode="External" Id="R8af88c1cbcf5413a" /><Relationship Type="http://schemas.openxmlformats.org/officeDocument/2006/relationships/hyperlink" Target="https://meteor.aihw.gov.au/content/505770" TargetMode="External" Id="R59a74a5b8e654da4" /><Relationship Type="http://schemas.openxmlformats.org/officeDocument/2006/relationships/hyperlink" Target="https://meteor.aihw.gov.au/RegistrationAuthority/1" TargetMode="External" Id="Rd01c1671b5ac4df5" /><Relationship Type="http://schemas.openxmlformats.org/officeDocument/2006/relationships/hyperlink" Target="https://meteor.aihw.gov.au/RegistrationAuthority/16" TargetMode="External" Id="R1168716b778a4d4a" /></Relationships>
</file>

<file path=word/_rels/header1.xml.rels>&#65279;<?xml version="1.0" encoding="utf-8"?><Relationships xmlns="http://schemas.openxmlformats.org/package/2006/relationships"><Relationship Type="http://schemas.openxmlformats.org/officeDocument/2006/relationships/image" Target="/media/image.png" Id="R950cffb062af45b5" /></Relationships>
</file>