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899dfd38e341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f1e541e20435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Health and Ageing (DoHA) and are stored in the Ageing and Aged Care data warehouse.</w:t>
            </w:r>
          </w:p>
          <w:p>
            <w:pPr/>
            <w:r>
              <w:rPr>
                <w:rStyle w:val="row-content-rich-text"/>
              </w:rPr>
              <w:t xml:space="preserve">The tables for this indicator were prepared by the DoHA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r>
              <w:br/>
            </w:r>
          </w:p>
          <w:p>
            <w:pPr>
              <w:pStyle w:val="ListParagraph"/>
              <w:numPr>
                <w:ilvl w:val="0"/>
                <w:numId w:val="3"/>
              </w:numPr>
            </w:pPr>
            <w:r>
              <w:rPr>
                <w:rStyle w:val="row-content-rich-text"/>
              </w:rPr>
              <w:t xml:space="preserve">the availability of alternative community care, informal care and respite services</w:t>
            </w:r>
            <w:r>
              <w:br/>
            </w:r>
          </w:p>
          <w:p>
            <w:pPr>
              <w:pStyle w:val="ListParagraph"/>
              <w:numPr>
                <w:ilvl w:val="0"/>
                <w:numId w:val="3"/>
              </w:numPr>
            </w:pPr>
            <w:r>
              <w:rPr>
                <w:rStyle w:val="row-content-rich-text"/>
              </w:rPr>
              <w:t xml:space="preserve">variations in care fee regimes that influence client choice of preferred service</w:t>
            </w:r>
            <w:r>
              <w:br/>
            </w:r>
          </w:p>
          <w:p>
            <w:pPr>
              <w:pStyle w:val="ListParagraph"/>
              <w:numPr>
                <w:ilvl w:val="0"/>
                <w:numId w:val="3"/>
              </w:numPr>
            </w:pPr>
            <w:r>
              <w:rPr>
                <w:rStyle w:val="row-content-rich-text"/>
              </w:rPr>
              <w:t xml:space="preserve">building quality and perceptions about quality of care that influence client choice of preferred service.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r>
              <w:rPr>
                <w:rStyle w:val="row-content-rich-text"/>
              </w:rPr>
              <w:t xml:space="preserve">The data for elapsed time by remoteness and Socio-Economic Indexes for Area (SEIFA) were sourced at a later date than the data for elapsed time by state/territory resulting in slightly larger total numbers of admissions. The variance between each breakdown of this indicator is less than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for the 2011-12 data. The data for remoteness and SEIFA will be sourced at the same time as the state/territory level data in future years to ensure the admission totals for each breakdown of elapsed time are consistent. The data items for 2012-13 onwards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934cda917f4df1">
              <w:r>
                <w:rPr>
                  <w:rStyle w:val="Hyperlink"/>
                </w:rPr>
                <w:t xml:space="preserve">National Healthcare Agreement: PI 30-Elapsed time for aged care services, 2014 QS</w:t>
              </w:r>
            </w:hyperlink>
          </w:p>
          <w:p>
            <w:pPr>
              <w:pStyle w:val="registration-status"/>
              <w:spacing w:before="0" w:after="0"/>
            </w:pPr>
            <w:hyperlink w:history="true" r:id="R3fbd567ad68a48d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7f72038f734cc2">
              <w:r>
                <w:rPr>
                  <w:rStyle w:val="Hyperlink"/>
                </w:rPr>
                <w:t xml:space="preserve">National Healthcare Agreement: PI 30-Elapsed time for aged care services, 2013</w:t>
              </w:r>
            </w:hyperlink>
          </w:p>
          <w:p>
            <w:pPr>
              <w:pStyle w:val="registration-status"/>
              <w:spacing w:before="0" w:after="0"/>
            </w:pPr>
            <w:hyperlink w:history="true" r:id="R910d180963d64d8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016b7683ee2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bc38de14f7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6b7683ee24507" /><Relationship Type="http://schemas.openxmlformats.org/officeDocument/2006/relationships/header" Target="/word/header1.xml" Id="Rc48266bbcdae4295" /><Relationship Type="http://schemas.openxmlformats.org/officeDocument/2006/relationships/settings" Target="/word/settings.xml" Id="Ra0ef491ed31c43b0" /><Relationship Type="http://schemas.openxmlformats.org/officeDocument/2006/relationships/styles" Target="/word/styles.xml" Id="R4e3b07f5c289457e" /><Relationship Type="http://schemas.openxmlformats.org/officeDocument/2006/relationships/numbering" Target="/word/numbering.xml" Id="R644e34d4b5d74143" /><Relationship Type="http://schemas.openxmlformats.org/officeDocument/2006/relationships/hyperlink" Target="https://meteor.aihw.gov.au/RegistrationAuthority/12" TargetMode="External" Id="R283f1e541e20435b" /><Relationship Type="http://schemas.openxmlformats.org/officeDocument/2006/relationships/hyperlink" Target="https://meteor.aihw.gov.au/content/517713" TargetMode="External" Id="R24934cda917f4df1" /><Relationship Type="http://schemas.openxmlformats.org/officeDocument/2006/relationships/hyperlink" Target="https://meteor.aihw.gov.au/RegistrationAuthority/12" TargetMode="External" Id="R3fbd567ad68a48d5" /><Relationship Type="http://schemas.openxmlformats.org/officeDocument/2006/relationships/hyperlink" Target="https://meteor.aihw.gov.au/content/496826" TargetMode="External" Id="Rb87f72038f734cc2" /><Relationship Type="http://schemas.openxmlformats.org/officeDocument/2006/relationships/hyperlink" Target="https://meteor.aihw.gov.au/RegistrationAuthority/12" TargetMode="External" Id="R910d180963d64d8c" /></Relationships>
</file>

<file path=word/_rels/header1.xml.rels>&#65279;<?xml version="1.0" encoding="utf-8"?><Relationships xmlns="http://schemas.openxmlformats.org/package/2006/relationships"><Relationship Type="http://schemas.openxmlformats.org/officeDocument/2006/relationships/image" Target="/media/image.png" Id="R43bc38de14f74822" /></Relationships>
</file>