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b9366fbf249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a36bd93ae4a0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National Healthcare Agreement (NHA) 2013 reporting, only disaggregation by state and territory is reported, with advice on technical issues associated with additional disaggregations to be sought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Department of Health and Ageing (DoHA) and quality-assessed by the Australian Institute of Health and Welfare (AIHW). AIHW drafted the initial data quality statement (including providing input about the methodology used to extract the data and any data anomalies) in consultation with DoHA. The AIHW did not have the relevant datasets required to independently verify the data tables for this indicator. For further information see the AIHW website.</w:t>
            </w:r>
          </w:p>
          <w:p>
            <w:pPr>
              <w:spacing w:after="160"/>
            </w:pPr>
            <w:r>
              <w:rPr>
                <w:rStyle w:val="row-content-rich-text"/>
              </w:rPr>
              <w:t xml:space="preserve">The data were supplied to DoHA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r>
              <w:rPr>
                <w:rStyle w:val="row-content-rich-text"/>
              </w:rPr>
              <w:t xml:space="preserve">States and territories supplied these data for publication in the </w:t>
            </w:r>
            <w:r>
              <w:rPr>
                <w:rStyle w:val="row-content-rich-text"/>
                <w:i/>
              </w:rPr>
              <w:t xml:space="preserve">National mental health report 2013</w:t>
            </w:r>
            <w:r>
              <w:rPr>
                <w:rStyle w:val="row-content-rich-text"/>
              </w:rPr>
              <w:t xml:space="preserve">, </w:t>
            </w:r>
            <w:r>
              <w:rPr>
                <w:rStyle w:val="row-content-rich-text"/>
                <w:i/>
              </w:rPr>
              <w:t xml:space="preserve">COAG national action plan on mental health—progress report 2010–11</w:t>
            </w:r>
            <w:r>
              <w:rPr>
                <w:rStyle w:val="row-content-rich-text"/>
              </w:rPr>
              <w:t xml:space="preserve">, and </w:t>
            </w:r>
            <w:r>
              <w:rPr>
                <w:rStyle w:val="row-content-rich-text"/>
                <w:i/>
              </w:rPr>
              <w:t xml:space="preserve">Report on government services 2013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2007–08, 2008–09, 2009–10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(COAG) national action plan on mental health progress reports available at:</w:t>
            </w:r>
          </w:p>
          <w:p>
            <w:pPr>
              <w:spacing w:after="160"/>
            </w:pPr>
            <w:r>
              <w:rPr>
                <w:rStyle w:val="row-content-rich-text"/>
              </w:rPr>
              <w:t xml:space="preserve">&lt;</w:t>
            </w:r>
            <w:hyperlink w:history="true" r:id="Rf093e4b1faec4560">
              <w:r>
                <w:rPr>
                  <w:rStyle w:val="Hyperlink"/>
                </w:rPr>
                <w:t xml:space="preserve">http://www.coag.gov.au</w:t>
              </w:r>
            </w:hyperlink>
            <w:r>
              <w:rPr>
                <w:rStyle w:val="row-content-rich-text"/>
              </w:rPr>
              <w:t xml:space="preserve">&gt;</w:t>
            </w:r>
          </w:p>
          <w:p>
            <w:pPr>
              <w:spacing w:after="160"/>
            </w:pPr>
            <w:r>
              <w:rPr>
                <w:rStyle w:val="row-content-rich-text"/>
              </w:rPr>
              <w:t xml:space="preserve">Report on government services available at:</w:t>
            </w:r>
          </w:p>
          <w:p>
            <w:pPr>
              <w:spacing w:after="160"/>
            </w:pPr>
            <w:r>
              <w:rPr>
                <w:rStyle w:val="row-content-rich-text"/>
              </w:rPr>
              <w:t xml:space="preserve">&lt;</w:t>
            </w:r>
            <w:hyperlink w:history="true" r:id="R476311fdfaa34acf">
              <w:r>
                <w:rPr>
                  <w:rStyle w:val="Hyperlink"/>
                </w:rPr>
                <w:t xml:space="preserve">http://www.pc.gov.au/gsp/rogs</w:t>
              </w:r>
            </w:hyperlink>
            <w:r>
              <w:rPr>
                <w:rStyle w:val="row-content-rich-text"/>
              </w:rPr>
              <w:t xml:space="preserve">&gt;</w:t>
            </w:r>
          </w:p>
          <w:p>
            <w:pPr>
              <w:spacing w:after="160"/>
            </w:pPr>
            <w:r>
              <w:rPr>
                <w:rStyle w:val="row-content-rich-text"/>
              </w:rPr>
              <w:t xml:space="preserve">National mental health report available at:</w:t>
            </w:r>
          </w:p>
          <w:p>
            <w:pPr/>
            <w:r>
              <w:rPr>
                <w:rStyle w:val="row-content-rich-text"/>
              </w:rPr>
              <w:t xml:space="preserve">&lt;</w:t>
            </w:r>
            <w:hyperlink w:history="true" r:id="Rc9a5d1b787e14b04">
              <w:r>
                <w:rPr>
                  <w:rStyle w:val="Hyperlink"/>
                </w:rPr>
                <w:t xml:space="preserve">http://www.health.gov.au/internet/main/publishing.nsf/Content/mental-data</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will be available in the forthcoming </w:t>
            </w:r>
            <w:r>
              <w:rPr>
                <w:rStyle w:val="row-content-rich-text"/>
                <w:i/>
              </w:rPr>
              <w:t xml:space="preserve">COAG national action plan on mental health—progress report 2010–11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hospital; statistical discharge – type change; left against medical advice/discharge at own risk and death</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 Two jurisdictions—Tasmania and South Australia—indicated that the data submitted were not based on unique patient identifier or data matching approaches. This factor can contribute to an appearance of lower follow-up rates for these jurisdictions.</w:t>
            </w:r>
          </w:p>
          <w:p>
            <w:pPr/>
            <w:r>
              <w:rPr>
                <w:rStyle w:val="row-content-rich-text"/>
              </w:rPr>
              <w:t xml:space="preserve">For 2013 NHA reporting, only disaggregation by state and territory is reported, with advice on technical issues associated with additional disaggregations to be sought from the Mental Health Information Strategy Subcommittee (MHISS) and National Mental Health Performance Subcommittee (NMHPSC)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 To align the indicator with the national specifications, revised data for all years were re-submitted by all states and territories so the indicator is comparable across the reported reference periods.</w:t>
            </w:r>
          </w:p>
          <w:p>
            <w:pPr/>
            <w:r>
              <w:rPr>
                <w:rStyle w:val="row-content-rich-text"/>
              </w:rPr>
              <w:t xml:space="preserve">This indicator is currently reported in progress reports of the </w:t>
            </w:r>
            <w:r>
              <w:rPr>
                <w:rStyle w:val="row-content-rich-text"/>
                <w:i/>
              </w:rPr>
              <w:t xml:space="preserve">COAG national action plan on mental health</w:t>
            </w:r>
            <w:r>
              <w:rPr>
                <w:rStyle w:val="row-content-rich-text"/>
              </w:rPr>
              <w:t xml:space="preserve">, and the </w:t>
            </w:r>
            <w:r>
              <w:rPr>
                <w:rStyle w:val="row-content-rich-text"/>
                <w:i/>
              </w:rPr>
              <w:t xml:space="preserve">Report on government services</w:t>
            </w:r>
            <w:r>
              <w:rPr>
                <w:rStyle w:val="row-content-rich-text"/>
              </w:rPr>
              <w:t xml:space="preserve"> (sourced from the COAG report). It is also equivalent to the Key Performance Indicators for Australian Public Mental Health Services: MHS PI 12—Post-discharge community care (which this new indicator is based on) and the Fourth National Mental Health Plan: NMHP PI 16—Rates of post-discharge community care (which is expected be reported in the National mental health report in June 2013 and revised to match MHS PI 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d3367dd10549bc">
              <w:r>
                <w:rPr>
                  <w:rStyle w:val="Hyperlink"/>
                </w:rPr>
                <w:t xml:space="preserve">National Healthcare Agreement: PI 25-Rate of community follow up within first seven days of discharge from a psychiatric admission, 2014 QS</w:t>
              </w:r>
            </w:hyperlink>
          </w:p>
          <w:p>
            <w:pPr>
              <w:spacing w:before="0" w:after="0"/>
            </w:pPr>
            <w:r>
              <w:rPr>
                <w:rStyle w:val="row-content"/>
                <w:color w:val="244061"/>
              </w:rPr>
              <w:t xml:space="preserve">       </w:t>
            </w:r>
            <w:hyperlink w:history="true" r:id="Rd5df1f30fe00454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df492a0ed04776">
              <w:r>
                <w:rPr>
                  <w:rStyle w:val="Hyperlink"/>
                </w:rPr>
                <w:t xml:space="preserve">National Healthcare Agreement: PI 25-Rate of community follow up within first seven days of discharge from a psychiatric admission, 2013</w:t>
              </w:r>
            </w:hyperlink>
          </w:p>
          <w:p>
            <w:pPr>
              <w:spacing w:before="0" w:after="0"/>
            </w:pPr>
            <w:r>
              <w:rPr>
                <w:rStyle w:val="row-content"/>
                <w:color w:val="244061"/>
              </w:rPr>
              <w:t xml:space="preserve">       </w:t>
            </w:r>
            <w:hyperlink w:history="true" r:id="Re9b2466589b5429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2db48e698c0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f936f5d2f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b48e698c045e2" /><Relationship Type="http://schemas.openxmlformats.org/officeDocument/2006/relationships/header" Target="/word/header1.xml" Id="Re598dc3797cd479f" /><Relationship Type="http://schemas.openxmlformats.org/officeDocument/2006/relationships/settings" Target="/word/settings.xml" Id="R35cdd72bf6d84418" /><Relationship Type="http://schemas.openxmlformats.org/officeDocument/2006/relationships/styles" Target="/word/styles.xml" Id="R4e9c70b17a1a40a4" /><Relationship Type="http://schemas.openxmlformats.org/officeDocument/2006/relationships/hyperlink" Target="https://meteor.aihw.gov.au/RegistrationAuthority/12" TargetMode="External" Id="R4b4a36bd93ae4a0a" /><Relationship Type="http://schemas.openxmlformats.org/officeDocument/2006/relationships/numbering" Target="/word/numbering.xml" Id="R990f252939fd4092" /><Relationship Type="http://schemas.openxmlformats.org/officeDocument/2006/relationships/hyperlink" Target="http://www.coag.gov.au" TargetMode="External" Id="Rf093e4b1faec4560" /><Relationship Type="http://schemas.openxmlformats.org/officeDocument/2006/relationships/hyperlink" Target="http://www.pc.gov.au/gsp/rogs" TargetMode="External" Id="R476311fdfaa34acf" /><Relationship Type="http://schemas.openxmlformats.org/officeDocument/2006/relationships/hyperlink" Target="http://www.health.gov.au/internet/main/publishing.nsf/Content/mental-data" TargetMode="External" Id="Rc9a5d1b787e14b04" /><Relationship Type="http://schemas.openxmlformats.org/officeDocument/2006/relationships/hyperlink" Target="https://meteor.aihw.gov.au/content/517723" TargetMode="External" Id="R09d3367dd10549bc" /><Relationship Type="http://schemas.openxmlformats.org/officeDocument/2006/relationships/hyperlink" Target="https://meteor.aihw.gov.au/RegistrationAuthority/12" TargetMode="External" Id="Rd5df1f30fe004542" /><Relationship Type="http://schemas.openxmlformats.org/officeDocument/2006/relationships/hyperlink" Target="https://meteor.aihw.gov.au/content/497030" TargetMode="External" Id="Rfadf492a0ed04776" /><Relationship Type="http://schemas.openxmlformats.org/officeDocument/2006/relationships/hyperlink" Target="https://meteor.aihw.gov.au/RegistrationAuthority/12" TargetMode="External" Id="Re9b2466589b54293" /></Relationships>
</file>

<file path=word/_rels/header1.xml.rels>&#65279;<?xml version="1.0" encoding="utf-8"?><Relationships xmlns="http://schemas.openxmlformats.org/package/2006/relationships"><Relationship Type="http://schemas.openxmlformats.org/officeDocument/2006/relationships/image" Target="/media/image.png" Id="R712f936f5d2f44bb" /></Relationships>
</file>