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18bba299ea47ad" /></Relationships>
</file>

<file path=word/document.xml><?xml version="1.0" encoding="utf-8"?>
<w:document xmlns:r="http://schemas.openxmlformats.org/officeDocument/2006/relationships" xmlns:w="http://schemas.openxmlformats.org/wordprocessingml/2006/main">
  <w:body>
    <w:p>
      <w:pPr>
        <w:pStyle w:val="Title"/>
      </w:pPr>
      <w:r>
        <w:t>Urgency Related Group classification (version 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classification (version 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f7856512a4fe0">
              <w:r>
                <w:rPr>
                  <w:rStyle w:val="Hyperlink"/>
                  <w:color w:val="244061"/>
                </w:rPr>
                <w:t xml:space="preserve">Health</w:t>
              </w:r>
            </w:hyperlink>
            <w:r>
              <w:rPr>
                <w:rStyle w:val="row-content"/>
                <w:color w:val="244061"/>
              </w:rPr>
              <w:t xml:space="preserve">, Standard 07/02/2013</w:t>
            </w:r>
          </w:p>
          <w:p>
            <w:pPr>
              <w:spacing w:before="0" w:after="0"/>
            </w:pPr>
            <w:hyperlink w:history="true" r:id="Rbff97b54032743d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3e4c66d306cb40ab">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All major diagnostic blocks</w:t>
            </w:r>
            <w:r>
              <w:br/>
            </w:r>
            <w:r>
              <w:rPr>
                <w:rStyle w:val="row-content-rich-text"/>
              </w:rPr>
              <w:t xml:space="preserve">        • Triage 2</w:t>
            </w:r>
            <w:r>
              <w:br/>
            </w:r>
            <w:r>
              <w:rPr>
                <w:rStyle w:val="row-content-rich-text"/>
              </w:rPr>
              <w:t xml:space="preserve">                • Alcohol/drug abuse</w:t>
            </w:r>
            <w:r>
              <w:br/>
            </w:r>
            <w:r>
              <w:rPr>
                <w:rStyle w:val="row-content-rich-text"/>
              </w:rPr>
              <w:t xml:space="preserve">                • Musculoskeletal/connective tissue illness</w:t>
            </w:r>
            <w:r>
              <w:br/>
            </w:r>
            <w:r>
              <w:rPr>
                <w:rStyle w:val="row-content-rich-text"/>
              </w:rPr>
              <w:t xml:space="preserve">                • Circulatory system/respiratory system illness</w:t>
            </w:r>
            <w:r>
              <w:br/>
            </w:r>
            <w:r>
              <w:rPr>
                <w:rStyle w:val="row-content-rich-text"/>
              </w:rPr>
              <w:t xml:space="preserve">                • Injury</w:t>
            </w:r>
            <w:r>
              <w:br/>
            </w:r>
            <w:r>
              <w:rPr>
                <w:rStyle w:val="row-content-rich-text"/>
              </w:rPr>
              <w:t xml:space="preserve">                • Poisoning</w:t>
            </w:r>
            <w:r>
              <w:br/>
            </w:r>
            <w:r>
              <w:rPr>
                <w:rStyle w:val="row-content-rich-text"/>
              </w:rPr>
              <w:t xml:space="preserve">                • 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Independent Hospital Pricing Authority, Sydney. Viewed 2 October 2012, &lt;</w:t>
            </w:r>
            <w:hyperlink w:history="true" r:id="R915299ad5fbf4a48">
              <w:r>
                <w:rPr>
                  <w:rStyle w:val="Hyperlink"/>
                </w:rPr>
                <w:t xml:space="preserve">http://www.ihpa.gov.au/internet/ihpa/publishing.nsf/Content/ABF-Price-Model-Reference-Classifications-for-2012-13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d9e1e1ff0447e2">
              <w:r>
                <w:rPr>
                  <w:rStyle w:val="Hyperlink"/>
                </w:rPr>
                <w:t xml:space="preserve">Urgency related group version 1.2</w:t>
              </w:r>
            </w:hyperlink>
          </w:p>
          <w:p>
            <w:pPr>
              <w:spacing w:before="0" w:after="0"/>
            </w:pPr>
            <w:r>
              <w:rPr>
                <w:rStyle w:val="row-content"/>
                <w:color w:val="244061"/>
              </w:rPr>
              <w:t xml:space="preserve">       </w:t>
            </w:r>
            <w:hyperlink w:history="true" r:id="R2ae17718aaef4475">
              <w:r>
                <w:rPr>
                  <w:rStyle w:val="Hyperlink"/>
                  <w:color w:val="244061"/>
                </w:rPr>
                <w:t xml:space="preserve">Independent Hospital Pricing Authority</w:t>
              </w:r>
            </w:hyperlink>
            <w:r>
              <w:rPr>
                <w:rStyle w:val="row-content"/>
                <w:color w:val="244061"/>
              </w:rPr>
              <w:t xml:space="preserve">, Superseded 30/10/2012</w:t>
            </w:r>
          </w:p>
          <w:p>
            <w:r>
              <w:br/>
            </w:r>
            <w:r>
              <w:rPr>
                <w:rStyle w:val="row-content"/>
              </w:rPr>
              <w:t xml:space="preserve">Has been superseded by </w:t>
            </w:r>
            <w:hyperlink w:history="true" r:id="R09fa7eccc8ba44ce">
              <w:r>
                <w:rPr>
                  <w:rStyle w:val="Hyperlink"/>
                </w:rPr>
                <w:t xml:space="preserve">Urgency Related Group classification (version 1.4)</w:t>
              </w:r>
            </w:hyperlink>
          </w:p>
          <w:p>
            <w:pPr>
              <w:spacing w:before="0" w:after="0"/>
            </w:pPr>
            <w:r>
              <w:rPr>
                <w:rStyle w:val="row-content"/>
                <w:color w:val="244061"/>
              </w:rPr>
              <w:t xml:space="preserve">       </w:t>
            </w:r>
            <w:hyperlink w:history="true" r:id="Ra9bf87dbf7bf4c45">
              <w:r>
                <w:rPr>
                  <w:rStyle w:val="Hyperlink"/>
                  <w:color w:val="244061"/>
                </w:rPr>
                <w:t xml:space="preserve">Tasmanian Health</w:t>
              </w:r>
            </w:hyperlink>
            <w:r>
              <w:rPr>
                <w:rStyle w:val="row-content"/>
                <w:color w:val="244061"/>
              </w:rPr>
              <w:t xml:space="preserve">, Standard 04/05/2021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0d58867c9b54234">
              <w:r>
                <w:rPr>
                  <w:rStyle w:val="Hyperlink"/>
                </w:rPr>
                <w:t xml:space="preserve">Urgency Related Group (v1.3) code [X]N[N]</w:t>
              </w:r>
            </w:hyperlink>
          </w:p>
          <w:p>
            <w:pPr>
              <w:spacing w:before="0" w:after="0"/>
            </w:pPr>
            <w:r>
              <w:rPr>
                <w:rStyle w:val="row-content"/>
                <w:color w:val="244061"/>
              </w:rPr>
              <w:t xml:space="preserve">       </w:t>
            </w:r>
            <w:hyperlink w:history="true" r:id="Rc4c29522957a44d8">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e571ab957f524ef5">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61902181ce3f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501472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1cbaabbfe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02181ce3f4d42" /><Relationship Type="http://schemas.openxmlformats.org/officeDocument/2006/relationships/header" Target="/word/header1.xml" Id="Rc89da8e18a524087" /><Relationship Type="http://schemas.openxmlformats.org/officeDocument/2006/relationships/settings" Target="/word/settings.xml" Id="R7b1ac17d418549ca" /><Relationship Type="http://schemas.openxmlformats.org/officeDocument/2006/relationships/styles" Target="/word/styles.xml" Id="Rd02fed4cdb5d4b5e" /><Relationship Type="http://schemas.openxmlformats.org/officeDocument/2006/relationships/hyperlink" Target="https://meteor.aihw.gov.au/RegistrationAuthority/12" TargetMode="External" Id="R182f7856512a4fe0" /><Relationship Type="http://schemas.openxmlformats.org/officeDocument/2006/relationships/hyperlink" Target="https://meteor.aihw.gov.au/RegistrationAuthority/3" TargetMode="External" Id="Rbff97b54032743d5" /><Relationship Type="http://schemas.openxmlformats.org/officeDocument/2006/relationships/hyperlink" Target="https://meteor.aihw.gov.au/content/327158" TargetMode="External" Id="R3e4c66d306cb40ab" /><Relationship Type="http://schemas.openxmlformats.org/officeDocument/2006/relationships/numbering" Target="/word/numbering.xml" Id="R003ceaf44c7f4870" /><Relationship Type="http://schemas.openxmlformats.org/officeDocument/2006/relationships/hyperlink" Target="http://www.ihpa.gov.au/internet/ihpa/publishing.nsf/Content/ABF-Price-Model-Reference-Classifications-for-2012-13" TargetMode="External" Id="R915299ad5fbf4a48" /><Relationship Type="http://schemas.openxmlformats.org/officeDocument/2006/relationships/hyperlink" Target="https://meteor.aihw.gov.au/content/447793" TargetMode="External" Id="R06d9e1e1ff0447e2" /><Relationship Type="http://schemas.openxmlformats.org/officeDocument/2006/relationships/hyperlink" Target="https://meteor.aihw.gov.au/RegistrationAuthority/3" TargetMode="External" Id="R2ae17718aaef4475" /><Relationship Type="http://schemas.openxmlformats.org/officeDocument/2006/relationships/hyperlink" Target="https://meteor.aihw.gov.au/content/743560" TargetMode="External" Id="R09fa7eccc8ba44ce" /><Relationship Type="http://schemas.openxmlformats.org/officeDocument/2006/relationships/hyperlink" Target="https://meteor.aihw.gov.au/RegistrationAuthority/15" TargetMode="External" Id="Ra9bf87dbf7bf4c45" /><Relationship Type="http://schemas.openxmlformats.org/officeDocument/2006/relationships/hyperlink" Target="https://meteor.aihw.gov.au/content/498028" TargetMode="External" Id="Rf0d58867c9b54234" /><Relationship Type="http://schemas.openxmlformats.org/officeDocument/2006/relationships/hyperlink" Target="https://meteor.aihw.gov.au/RegistrationAuthority/12" TargetMode="External" Id="Rc4c29522957a44d8" /><Relationship Type="http://schemas.openxmlformats.org/officeDocument/2006/relationships/hyperlink" Target="https://meteor.aihw.gov.au/RegistrationAuthority/3" TargetMode="External" Id="Re571ab957f524ef5" /></Relationships>
</file>

<file path=word/_rels/header1.xml.rels>&#65279;<?xml version="1.0" encoding="utf-8"?><Relationships xmlns="http://schemas.openxmlformats.org/package/2006/relationships"><Relationship Type="http://schemas.openxmlformats.org/officeDocument/2006/relationships/image" Target="/media/image.png" Id="R5841cbaabbfe4504" /></Relationships>
</file>