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9a90ec55b4405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928ca68008445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b989619571b428b">
              <w:r>
                <w:rPr>
                  <w:rStyle w:val="Hyperlink"/>
                  <w:color w:val="244061"/>
                </w:rPr>
                <w:t xml:space="preserve">Health</w:t>
              </w:r>
            </w:hyperlink>
            <w:r>
              <w:rPr>
                <w:rStyle w:val="row-content"/>
                <w:color w:val="244061"/>
              </w:rPr>
              <w:t xml:space="preserve">, Superseded 13/11/2014</w:t>
            </w:r>
          </w:p>
          <w:p>
            <w:pPr>
              <w:spacing w:before="0" w:after="0"/>
            </w:pPr>
            <w:hyperlink w:history="true" r:id="Re9f11aa7231b44e5">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9ce505f7d0459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b0548ab8a64de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63f5543047489a">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68ec96178e42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cf3d3981fc4549">
              <w:r>
                <w:rPr>
                  <w:rStyle w:val="Hyperlink"/>
                </w:rPr>
                <w:t xml:space="preserve">Non-admitted patient service event—non-admitted service type </w:t>
              </w:r>
            </w:hyperlink>
          </w:p>
          <w:p>
            <w:pPr>
              <w:pStyle w:val="registration-status"/>
              <w:spacing w:before="0" w:after="0"/>
            </w:pPr>
            <w:hyperlink w:history="true" r:id="R514c2d810a594f3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a78f0c80bad4b4d">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2a05bbf7bf4b98">
              <w:r>
                <w:rPr>
                  <w:rStyle w:val="Hyperlink"/>
                </w:rPr>
                <w:t xml:space="preserve">Non-admitted patient service event—non-admitted service type, code (Tier 2 v2.0) NN.NN</w:t>
              </w:r>
            </w:hyperlink>
          </w:p>
          <w:p>
            <w:pPr>
              <w:pStyle w:val="registration-status"/>
              <w:spacing w:before="0" w:after="0"/>
            </w:pPr>
            <w:hyperlink w:history="true" r:id="Rbbd5891548f04c32">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4bf30b90950d4a1c">
              <w:r>
                <w:rPr>
                  <w:rStyle w:val="Hyperlink"/>
                  <w:color w:val="244061"/>
                </w:rPr>
                <w:t xml:space="preserve">Independent Hospital Pricing Authority</w:t>
              </w:r>
            </w:hyperlink>
            <w:r>
              <w:rPr>
                <w:rStyle w:val="row-content"/>
                <w:color w:val="244061"/>
              </w:rPr>
              <w:t xml:space="preserve">, Standard 31/10/2012</w:t>
            </w:r>
          </w:p>
          <w:p>
            <w:r>
              <w:br/>
            </w:r>
            <w:hyperlink w:history="true" r:id="R46ab925d733e4284">
              <w:r>
                <w:rPr>
                  <w:rStyle w:val="Hyperlink"/>
                </w:rPr>
                <w:t xml:space="preserve">Non-admitted patient service event—non-admitted service type, code (Tier 2 v3.0) NN.NN</w:t>
              </w:r>
            </w:hyperlink>
          </w:p>
          <w:p>
            <w:pPr>
              <w:pStyle w:val="registration-status"/>
              <w:spacing w:before="0" w:after="0"/>
            </w:pPr>
            <w:hyperlink w:history="true" r:id="R27e28ad1285d4cb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8d3c56269cb4c77">
              <w:r>
                <w:rPr>
                  <w:rStyle w:val="Hyperlink"/>
                  <w:color w:val="244061"/>
                </w:rPr>
                <w:t xml:space="preserve">Tasmanian Health</w:t>
              </w:r>
            </w:hyperlink>
            <w:r>
              <w:rPr>
                <w:rStyle w:val="row-content"/>
                <w:color w:val="244061"/>
              </w:rPr>
              <w:t xml:space="preserve">, Superseded 23/11/2016</w:t>
            </w:r>
          </w:p>
          <w:p>
            <w:r>
              <w:br/>
            </w:r>
          </w:p>
        </w:tc>
      </w:tr>
    </w:tbl>
    <w:p>
      <w:r>
        <w:br/>
      </w:r>
      <w:r>
        <w:br/>
      </w:r>
    </w:p>
    <w:sectPr>
      <w:footerReference xmlns:r="http://schemas.openxmlformats.org/officeDocument/2006/relationships" w:type="default" r:id="R507ded9f0577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501304</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321577e2a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ded9f057749be" /><Relationship Type="http://schemas.openxmlformats.org/officeDocument/2006/relationships/header" Target="/word/header1.xml" Id="Rac36aac2a3564736" /><Relationship Type="http://schemas.openxmlformats.org/officeDocument/2006/relationships/settings" Target="/word/settings.xml" Id="R051ef46ae90d4d00" /><Relationship Type="http://schemas.openxmlformats.org/officeDocument/2006/relationships/styles" Target="/word/styles.xml" Id="R733eef58975c4f48" /><Relationship Type="http://schemas.openxmlformats.org/officeDocument/2006/relationships/numbering" Target="/word/numbering.xml" Id="Rca4c2a72001e46d9" /><Relationship Type="http://schemas.openxmlformats.org/officeDocument/2006/relationships/hyperlink" Target="https://meteor.aihw.gov.au/RegistrationAuthority/3" TargetMode="External" Id="R21928ca680084455" /><Relationship Type="http://schemas.openxmlformats.org/officeDocument/2006/relationships/hyperlink" Target="https://meteor.aihw.gov.au/RegistrationAuthority/12" TargetMode="External" Id="R0b989619571b428b" /><Relationship Type="http://schemas.openxmlformats.org/officeDocument/2006/relationships/hyperlink" Target="https://meteor.aihw.gov.au/RegistrationAuthority/15" TargetMode="External" Id="Re9f11aa7231b44e5" /><Relationship Type="http://schemas.openxmlformats.org/officeDocument/2006/relationships/hyperlink" Target="https://meteor.aihw.gov.au/content/400604" TargetMode="External" Id="Ra49ce505f7d0459c" /><Relationship Type="http://schemas.openxmlformats.org/officeDocument/2006/relationships/hyperlink" Target="https://meteor.aihw.gov.au/content/281121" TargetMode="External" Id="R7eb0548ab8a64de4" /><Relationship Type="http://schemas.openxmlformats.org/officeDocument/2006/relationships/hyperlink" Target="https://meteor.aihw.gov.au/content/470189" TargetMode="External" Id="Rec63f5543047489a" /><Relationship Type="http://schemas.openxmlformats.org/officeDocument/2006/relationships/hyperlink" Target="https://meteor.aihw.gov.au/content/274661" TargetMode="External" Id="R9e68ec96178e428d" /><Relationship Type="http://schemas.openxmlformats.org/officeDocument/2006/relationships/hyperlink" Target="https://meteor.aihw.gov.au/content/584028" TargetMode="External" Id="R65cf3d3981fc4549" /><Relationship Type="http://schemas.openxmlformats.org/officeDocument/2006/relationships/hyperlink" Target="https://meteor.aihw.gov.au/RegistrationAuthority/12" TargetMode="External" Id="R514c2d810a594f3c" /><Relationship Type="http://schemas.openxmlformats.org/officeDocument/2006/relationships/hyperlink" Target="https://meteor.aihw.gov.au/RegistrationAuthority/15" TargetMode="External" Id="R7a78f0c80bad4b4d" /><Relationship Type="http://schemas.openxmlformats.org/officeDocument/2006/relationships/hyperlink" Target="https://meteor.aihw.gov.au/content/500722" TargetMode="External" Id="R162a05bbf7bf4b98" /><Relationship Type="http://schemas.openxmlformats.org/officeDocument/2006/relationships/hyperlink" Target="https://meteor.aihw.gov.au/RegistrationAuthority/12" TargetMode="External" Id="Rbbd5891548f04c32" /><Relationship Type="http://schemas.openxmlformats.org/officeDocument/2006/relationships/hyperlink" Target="https://meteor.aihw.gov.au/RegistrationAuthority/3" TargetMode="External" Id="R4bf30b90950d4a1c" /><Relationship Type="http://schemas.openxmlformats.org/officeDocument/2006/relationships/hyperlink" Target="https://meteor.aihw.gov.au/content/548189" TargetMode="External" Id="R46ab925d733e4284" /><Relationship Type="http://schemas.openxmlformats.org/officeDocument/2006/relationships/hyperlink" Target="https://meteor.aihw.gov.au/RegistrationAuthority/12" TargetMode="External" Id="R27e28ad1285d4cbb" /><Relationship Type="http://schemas.openxmlformats.org/officeDocument/2006/relationships/hyperlink" Target="https://meteor.aihw.gov.au/RegistrationAuthority/15" TargetMode="External" Id="R18d3c56269cb4c77" /></Relationships>
</file>

<file path=word/_rels/header1.xml.rels>&#65279;<?xml version="1.0" encoding="utf-8"?><Relationships xmlns="http://schemas.openxmlformats.org/package/2006/relationships"><Relationship Type="http://schemas.openxmlformats.org/officeDocument/2006/relationships/image" Target="/media/image.png" Id="R52b321577e2a450c" /></Relationships>
</file>