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4555e4560714e3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01-Proportion of babies born with low birth weight, 2012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01-Proportion of babies born with low birth weight,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500984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95c5c07bca434e">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Birthweight is included in the Perinatal National Minimum Data Set (NMDS) and data are complete for over 99.9 per cent of babies.</w:t>
            </w:r>
          </w:p>
          <w:p>
            <w:pPr>
              <w:pStyle w:val="ListParagraph"/>
              <w:numPr>
                <w:ilvl w:val="0"/>
                <w:numId w:val="2"/>
              </w:numPr>
            </w:pPr>
            <w:r>
              <w:rPr>
                <w:rStyle w:val="row-content-rich-text"/>
              </w:rPr>
              <w:t xml:space="preserve">This measure only includes births of at least 20 weeks gestation or 400 grams birthweight. It excludes multiple births and stillbirths and the measure may therefore differ slightly from information presented in other publications on low birthweight. </w:t>
            </w:r>
          </w:p>
          <w:p>
            <w:pPr>
              <w:pStyle w:val="ListParagraph"/>
              <w:numPr>
                <w:ilvl w:val="0"/>
                <w:numId w:val="2"/>
              </w:numPr>
            </w:pPr>
            <w:r>
              <w:rPr>
                <w:rStyle w:val="row-content-rich-text"/>
              </w:rPr>
              <w:t xml:space="preserve">The National Perinatal Data Collection (NPDC) includes information on the Indigenous status of the mother only. Since 2005, all jurisdictions have collected information on Indigenous status of the mother in accordance with the Perinatal NMDS.</w:t>
            </w:r>
          </w:p>
          <w:p>
            <w:pPr>
              <w:pStyle w:val="ListParagraph"/>
              <w:numPr>
                <w:ilvl w:val="0"/>
                <w:numId w:val="2"/>
              </w:numPr>
            </w:pPr>
            <w:r>
              <w:rPr>
                <w:rStyle w:val="row-content-rich-text"/>
              </w:rPr>
              <w:t xml:space="preserve">No formal national assessment has been undertaken to determine completeness of the coverage or identification of Indigenous mothers in the NPDC. The current data have not been adjusted for under-identification of Indigenous status of the mother and thus jurisdictional comparisons of Indigenous data should not be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Institute of Health and Welfare (AIHW) has calculated this indicator. Data were supplied by State and Territory health authorities to the National Perinatal Epidemiology and Statistics Unit (NPESU), a collaborating unit of the Institute. The State and Territory health authorities receive these data from patient administrative and clinical records. This information is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data is 2008. Collection of data for the NPDC is 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NPDC. Published products available on the AIHW website are:</w:t>
            </w:r>
          </w:p>
          <w:p>
            <w:pPr>
              <w:pStyle w:val="ListParagraph"/>
              <w:numPr>
                <w:ilvl w:val="0"/>
                <w:numId w:val="3"/>
              </w:numPr>
            </w:pPr>
            <w:r>
              <w:rPr>
                <w:rStyle w:val="row-content-rich-text"/>
                <w:i/>
              </w:rPr>
              <w:t xml:space="preserve">Australia’s mothers and babies</w:t>
            </w:r>
            <w:r>
              <w:rPr>
                <w:rStyle w:val="row-content-rich-text"/>
              </w:rPr>
              <w:t xml:space="preserve"> annual report</w:t>
            </w:r>
          </w:p>
          <w:p>
            <w:pPr>
              <w:pStyle w:val="ListParagraph"/>
              <w:numPr>
                <w:ilvl w:val="0"/>
                <w:numId w:val="3"/>
              </w:numPr>
            </w:pPr>
            <w:r>
              <w:rPr>
                <w:rStyle w:val="row-content-rich-text"/>
                <w:i/>
              </w:rPr>
              <w:t xml:space="preserve">Indigenous mothers and their babies, Australia 2001–2004 </w:t>
            </w:r>
          </w:p>
          <w:p>
            <w:pPr>
              <w:pStyle w:val="ListParagraph"/>
              <w:numPr>
                <w:ilvl w:val="0"/>
                <w:numId w:val="3"/>
              </w:numPr>
            </w:pPr>
            <w:r>
              <w:rPr>
                <w:rStyle w:val="row-content-rich-text"/>
              </w:rPr>
              <w:t xml:space="preserve">METeOR – online metadata repository</w:t>
            </w:r>
          </w:p>
          <w:p>
            <w:pPr>
              <w:pStyle w:val="ListParagraph"/>
              <w:numPr>
                <w:ilvl w:val="0"/>
                <w:numId w:val="3"/>
              </w:numPr>
            </w:pPr>
            <w:r>
              <w:rPr>
                <w:rStyle w:val="row-content-rich-text"/>
                <w:i/>
              </w:rPr>
              <w:t xml:space="preserve">National health data dictionary</w:t>
            </w:r>
            <w:r>
              <w:rPr>
                <w:rStyle w:val="row-content-rich-text"/>
              </w:rPr>
              <w:t xml:space="preserve">.</w:t>
            </w:r>
          </w:p>
          <w:p>
            <w:pPr/>
            <w:r>
              <w:rPr>
                <w:rStyle w:val="row-content-rich-text"/>
              </w:rPr>
              <w:t xml:space="preserve">Ad-hoc data are also available on request (charges apply to recover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use and quality of the Perinatal NMDS are published annually in </w:t>
            </w:r>
            <w:r>
              <w:rPr>
                <w:rStyle w:val="row-content-rich-text"/>
                <w:i/>
              </w:rPr>
              <w:t xml:space="preserve">Australia’s mothers and babies</w:t>
            </w:r>
            <w:r>
              <w:rPr>
                <w:rStyle w:val="row-content-rich-text"/>
              </w:rPr>
              <w:t xml:space="preserve"> (Chapter 1), available in hard copy or on the AIHW website. Comprehensive information on the quality of Perinatal NMDS elements are published in </w:t>
            </w:r>
            <w:r>
              <w:rPr>
                <w:rStyle w:val="row-content-rich-text"/>
                <w:i/>
              </w:rPr>
              <w:t xml:space="preserve">Perinatal National Minimum Data Set compliance evaluation</w:t>
            </w:r>
            <w:r>
              <w:rPr>
                <w:rStyle w:val="row-content-rich-text"/>
                <w:i/>
              </w:rPr>
              <w:t xml:space="preserve">2001 to 2005</w:t>
            </w:r>
            <w:r>
              <w:rPr>
                <w:rStyle w:val="row-content-rich-text"/>
              </w:rPr>
              <w:t xml:space="preserve">. Readers are advised to read caveat information to ensure appropriate interpretation of the performance indicator. More detailed information on the quality of Indigenous data that might affect interpretation of the indicator was published in</w:t>
            </w:r>
            <w:r>
              <w:rPr>
                <w:rStyle w:val="row-content-rich-text"/>
                <w:i/>
              </w:rPr>
              <w:t xml:space="preserve"> Indigenous mothers and their babies, Australia 2001–2004</w:t>
            </w:r>
            <w:r>
              <w:rPr>
                <w:rStyle w:val="row-content-rich-text"/>
              </w:rPr>
              <w:t xml:space="preserve"> (Chapter 1 and Chapter 5).</w:t>
            </w:r>
          </w:p>
          <w:p>
            <w:pPr/>
            <w:r>
              <w:rPr>
                <w:rStyle w:val="row-content-rich-text"/>
              </w:rPr>
              <w:t xml:space="preserve">Metadata information for this indicator has been published in the AIHW’s online metadata repository (METeOR). Metadata information for the Perinatal NMDS are also published in METeOR, and the </w:t>
            </w:r>
            <w:r>
              <w:rPr>
                <w:rStyle w:val="row-content-rich-text"/>
                <w:i/>
              </w:rPr>
              <w:t xml:space="preserve">National health data dictionary</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Perinatal Data Collection comprises data items as specified in the Perinatal NMDS plus additional items collected by the states and territories. The purpose of the Perinatal NMDS is to collect information at birth for monitoring pregnancy, childbirth and the neonatal period for both the mother and baby(s).</w:t>
            </w:r>
          </w:p>
          <w:p>
            <w:pPr>
              <w:spacing w:after="160"/>
            </w:pPr>
            <w:r>
              <w:rPr>
                <w:rStyle w:val="row-content-rich-text"/>
              </w:rPr>
              <w:t xml:space="preserve">The Perinatal NMDS is a specification for data collected on all births in Australia in hospitals, birth centres and the community. It includes information for all live births and stillbirths of at least 400 grams birthweight or at least 20 weeks gestation. It includes data items relating to the mother, including demographic characteristics and factors relating to the pregnancy, labour and birth; and data items relating to the baby, including birth status (live or stillbirth), sex, gestational age at birth, birth weight, Apgar score and neonatal length of stay.</w:t>
            </w:r>
          </w:p>
          <w:p>
            <w:pPr>
              <w:spacing w:after="160"/>
            </w:pPr>
            <w:r>
              <w:rPr>
                <w:rStyle w:val="row-content-rich-text"/>
              </w:rPr>
              <w:t xml:space="preserve">The NPDC includes all relevant data elements of interest for this indicator. Birthweight is a Perinatal NMDS item. In 2009, very few (0.04 per cent) records for live-born singleton babies were missing the data for birthweight.</w:t>
            </w:r>
          </w:p>
          <w:p>
            <w:pPr>
              <w:spacing w:after="160"/>
            </w:pPr>
            <w:r>
              <w:rPr>
                <w:rStyle w:val="row-content-rich-text"/>
              </w:rPr>
              <w:t xml:space="preserve">While each jurisdiction has a unique perinatal form for collecting data on which the format of the Indigenous status question and recording categories varies slightly, all systems include the NMDS item on Indigenous status of mother.</w:t>
            </w:r>
          </w:p>
          <w:p>
            <w:pPr>
              <w:spacing w:after="160"/>
            </w:pPr>
            <w:r>
              <w:rPr>
                <w:rStyle w:val="row-content-rich-text"/>
              </w:rPr>
              <w:t xml:space="preserve">No formal national assessment has been undertaken to determine completeness of the coverage of Indigenous mothers in the Perinatal NMDS. However, the proportion of Indigenous mothers for the period 2000–2009 has been consistent, at 3.4–3.8 per cent of women who gave birth. For maternal records where Indigenous status was not stated (0.4 per cent), data were excluded from Indigenous and non‑Indigenous analyses.</w:t>
            </w:r>
          </w:p>
          <w:p>
            <w:pPr/>
            <w:r>
              <w:rPr>
                <w:rStyle w:val="row-content-rich-text"/>
              </w:rPr>
              <w:t xml:space="preserve">The indicator is presented by SEIFA IRSD. The data supplied to the NPDC include a code for SLA from all states and territories. Reporting by remoteness is in accordance with the Australian Standard Geographical Classification (ASGC).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Institute. The Institute does not have direct access to perinatal records to determine the accuracy of the data provided. However, the Institute undertakes validation on receipt of data. Data received from states and territories are checked for completeness, validity and logical errors. Potential errors are queried with jurisdictions, and corrections and resubmissions are made in response to these edit queries. The AIHW does not adjust data to account for possible data errors.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Institute. This indicator is calculated on data that has been reported to the AIHW. Prior to publication, these data are referred back to jurisdictions for checking and review. The Institute does not adjust the data to correct for missing values. Note that because of data editing and subsequent updates of State/Territory databases, and because data are being reported by place of residence rather than place of birth the numbers reported for this indicator differ from those in reports published by the states and territories. The data are not rounded.</w:t>
            </w:r>
          </w:p>
          <w:p>
            <w:pPr>
              <w:spacing w:after="160"/>
            </w:pPr>
            <w:r>
              <w:rPr>
                <w:rStyle w:val="row-content-rich-text"/>
              </w:rPr>
              <w:t xml:space="preserve">The data supplied for the 2009 Perinatal NMDS by Victoria to prepare this indicator was not the final data. Further minor changes to the data are unlikely to produce any detectable change to the indicator.</w:t>
            </w:r>
          </w:p>
          <w:p>
            <w:pPr>
              <w:spacing w:after="160"/>
            </w:pPr>
            <w:r>
              <w:rPr>
                <w:rStyle w:val="row-content-rich-text"/>
              </w:rPr>
              <w:t xml:space="preserve">The geographical location code for the area of usual residence of the mother is included in the Perinatal NMDS. Only 0.2 per cent of records were non-residents or could not be assigned to a state or territory of residence. There is no scope in the data element Area of usual residence of mother to discriminate temporary residence of mother for the purposes of accessing birthing services from usual residence. The former may differentially impact populations from remote and very remote areas, where services are not available locally.</w:t>
            </w:r>
          </w:p>
          <w:p>
            <w:pPr>
              <w:spacing w:after="160"/>
            </w:pPr>
            <w:r>
              <w:rPr>
                <w:rStyle w:val="row-content-rich-text"/>
              </w:rPr>
              <w:t xml:space="preserve">Birthweight is nearly universally reported. Less than 0.08 per cent of records were missing overall. Data presented by Indigenous status are influenced by the quality and completeness of Indigenous identification of mothers which is likely to differ among jurisdictions. Approximately 0.4 per cent of mothers who gave birth in the reference period had missing Indigenous status information. No adjustments have been made for under-identification or missing Indigenous status information and thus jurisdictional comparisons of Indigenous data should not be made.</w:t>
            </w:r>
          </w:p>
          <w:p>
            <w:pPr/>
            <w:r>
              <w:rPr>
                <w:rStyle w:val="row-content-rich-text"/>
              </w:rPr>
              <w:t xml:space="preserve">Disaggregated data by Indigenous status is reported by single year for time series and by three-year combined data for the current reporting period. Single year data by Indigenous status should be used with caution due to the small number of low birthweight infants born to Indigenous mothers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are published annually in </w:t>
            </w:r>
            <w:r>
              <w:rPr>
                <w:rStyle w:val="row-content-rich-text"/>
                <w:i/>
              </w:rPr>
              <w:t xml:space="preserve">Australia’s mothers and babies</w:t>
            </w:r>
            <w:r>
              <w:rPr>
                <w:rStyle w:val="row-content-rich-text"/>
              </w:rPr>
              <w:t xml:space="preserve">; and biennially in reports such as the </w:t>
            </w:r>
            <w:r>
              <w:rPr>
                <w:rStyle w:val="row-content-rich-text"/>
                <w:i/>
              </w:rPr>
              <w:t xml:space="preserve">Aboriginal and Torres Strait Islander Health Performance Framework</w:t>
            </w:r>
            <w:r>
              <w:rPr>
                <w:rStyle w:val="row-content-rich-text"/>
              </w:rPr>
              <w:t xml:space="preserve"> report, the</w:t>
            </w:r>
            <w:r>
              <w:rPr>
                <w:rStyle w:val="row-content-rich-text"/>
                <w:i/>
              </w:rPr>
              <w:t xml:space="preserve"> Health and Welfare of Australia’s Aboriginal and Torres Strait Islander Peoples </w:t>
            </w:r>
            <w:r>
              <w:rPr>
                <w:rStyle w:val="row-content-rich-text"/>
              </w:rPr>
              <w:t xml:space="preserve">report, and the </w:t>
            </w:r>
            <w:r>
              <w:rPr>
                <w:rStyle w:val="row-content-rich-text"/>
                <w:i/>
              </w:rPr>
              <w:t xml:space="preserve">Overcoming Indigenous Disadvantage</w:t>
            </w:r>
            <w:r>
              <w:rPr>
                <w:rStyle w:val="row-content-rich-text"/>
              </w:rPr>
              <w:t xml:space="preserve"> report. The numbers presented in these publications will differ slightly from those presented here as this measure excludes multiple births and stillbirths.</w:t>
            </w:r>
          </w:p>
          <w:p>
            <w:pPr/>
            <w:r>
              <w:rPr>
                <w:rStyle w:val="row-content-rich-text"/>
              </w:rPr>
              <w:t xml:space="preserve">Changing levels of Indigenous identification over time and across jurisdictions may also affect the accuracy of compiling a consistent time series in future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ff8011be9834cf8">
              <w:r>
                <w:rPr>
                  <w:rStyle w:val="Hyperlink"/>
                </w:rPr>
                <w:t xml:space="preserve">National Healthcare Agreement: PI 01-Proportion of babies born with low birth weight, 2011 QS</w:t>
              </w:r>
            </w:hyperlink>
          </w:p>
          <w:p>
            <w:pPr>
              <w:spacing w:before="0" w:after="0"/>
            </w:pPr>
            <w:r>
              <w:rPr>
                <w:rStyle w:val="row-content"/>
                <w:color w:val="244061"/>
              </w:rPr>
              <w:t xml:space="preserve">       </w:t>
            </w:r>
            <w:hyperlink w:history="true" r:id="Rf6d2caaa4f3b4a4d">
              <w:r>
                <w:rPr>
                  <w:rStyle w:val="Hyperlink"/>
                  <w:color w:val="244061"/>
                </w:rPr>
                <w:t xml:space="preserve">Health</w:t>
              </w:r>
            </w:hyperlink>
            <w:r>
              <w:rPr>
                <w:rStyle w:val="row-content"/>
                <w:color w:val="244061"/>
              </w:rPr>
              <w:t xml:space="preserve">, Superseded 04/12/2012</w:t>
            </w:r>
          </w:p>
          <w:p>
            <w:r>
              <w:br/>
            </w:r>
            <w:r>
              <w:rPr>
                <w:rStyle w:val="row-content"/>
              </w:rPr>
              <w:t xml:space="preserve">Has been superseded by </w:t>
            </w:r>
            <w:hyperlink w:history="true" r:id="R8f0b80bcf1784e16">
              <w:r>
                <w:rPr>
                  <w:rStyle w:val="Hyperlink"/>
                </w:rPr>
                <w:t xml:space="preserve">National Healthcare Agreement: PI 01-Proportion of babies born with low birth weight, 2013 QS</w:t>
              </w:r>
            </w:hyperlink>
          </w:p>
          <w:p>
            <w:pPr>
              <w:spacing w:before="0" w:after="0"/>
            </w:pPr>
            <w:r>
              <w:rPr>
                <w:rStyle w:val="row-content"/>
                <w:color w:val="244061"/>
              </w:rPr>
              <w:t xml:space="preserve">       </w:t>
            </w:r>
            <w:hyperlink w:history="true" r:id="Rd6dae7db77d74d21">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0c4417073a1a49fb">
              <w:r>
                <w:rPr>
                  <w:rStyle w:val="Hyperlink"/>
                </w:rPr>
                <w:t xml:space="preserve">National Healthcare Agreement: PI 01-Proportion of babies born of low birth weight, 2012</w:t>
              </w:r>
            </w:hyperlink>
          </w:p>
          <w:p>
            <w:pPr>
              <w:spacing w:before="0" w:after="0"/>
            </w:pPr>
            <w:r>
              <w:rPr>
                <w:rStyle w:val="row-content"/>
                <w:color w:val="244061"/>
              </w:rPr>
              <w:t xml:space="preserve">       </w:t>
            </w:r>
            <w:hyperlink w:history="true" r:id="R814ea3b5fb544a82">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79fc7be5c3794a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500984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71b0337ed049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fc7be5c3794acc" /><Relationship Type="http://schemas.openxmlformats.org/officeDocument/2006/relationships/header" Target="/word/header1.xml" Id="R5cae99a9330b443f" /><Relationship Type="http://schemas.openxmlformats.org/officeDocument/2006/relationships/settings" Target="/word/settings.xml" Id="R66cb2a5346b54a73" /><Relationship Type="http://schemas.openxmlformats.org/officeDocument/2006/relationships/styles" Target="/word/styles.xml" Id="Rcf713cfbf66d45d0" /><Relationship Type="http://schemas.openxmlformats.org/officeDocument/2006/relationships/hyperlink" Target="https://meteor.aihw.gov.au/RegistrationAuthority/12" TargetMode="External" Id="R7895c5c07bca434e" /><Relationship Type="http://schemas.openxmlformats.org/officeDocument/2006/relationships/numbering" Target="/word/numbering.xml" Id="R0ce4a1f9464a44f4" /><Relationship Type="http://schemas.openxmlformats.org/officeDocument/2006/relationships/hyperlink" Target="https://meteor.aihw.gov.au/content/447891" TargetMode="External" Id="R1ff8011be9834cf8" /><Relationship Type="http://schemas.openxmlformats.org/officeDocument/2006/relationships/hyperlink" Target="https://meteor.aihw.gov.au/RegistrationAuthority/12" TargetMode="External" Id="Rf6d2caaa4f3b4a4d" /><Relationship Type="http://schemas.openxmlformats.org/officeDocument/2006/relationships/hyperlink" Target="https://meteor.aihw.gov.au/content/507168" TargetMode="External" Id="R8f0b80bcf1784e16" /><Relationship Type="http://schemas.openxmlformats.org/officeDocument/2006/relationships/hyperlink" Target="https://meteor.aihw.gov.au/RegistrationAuthority/12" TargetMode="External" Id="Rd6dae7db77d74d21" /><Relationship Type="http://schemas.openxmlformats.org/officeDocument/2006/relationships/hyperlink" Target="https://meteor.aihw.gov.au/content/435834" TargetMode="External" Id="R0c4417073a1a49fb" /><Relationship Type="http://schemas.openxmlformats.org/officeDocument/2006/relationships/hyperlink" Target="https://meteor.aihw.gov.au/RegistrationAuthority/12" TargetMode="External" Id="R814ea3b5fb544a82" /></Relationships>
</file>

<file path=word/_rels/header1.xml.rels>&#65279;<?xml version="1.0" encoding="utf-8"?><Relationships xmlns="http://schemas.openxmlformats.org/package/2006/relationships"><Relationship Type="http://schemas.openxmlformats.org/officeDocument/2006/relationships/image" Target="/media/image.png" Id="R3071b0337ed04963" /></Relationships>
</file>