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87c9315ed4e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4bec31073414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Aust</w:t>
            </w:r>
            <w:r>
              <w:rPr>
                <w:rStyle w:val="row-content-rich-text"/>
                <w:i/>
              </w:rPr>
              <w:t xml:space="preserve">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any error in data is identified. The data are withdrawn, and the publication is re‑released with correct data. Key users are notified by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These data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The data are shown by remoteness and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of data can be freely downloaded from the ABS website. A confidentialised unit record file (CURF) will be released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Socio-Economics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are self-reported but not attitudinal as people are reporting instances where they did not see a health professional, have a test, or get a prescription filled at any time in the past 12 months due to cost. Explanatory footnotes are provided with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per cent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data are the only data available for this indicator. At this stage, there are no other directly comparable data sources, although the ABS Aboriginal and Torres Strait Islander Health Survey asks a multi-response question about whether respondents did not see a GP or specialist when they needed to, with cost being one of the possible responses. This question is matched in the PEx for non‑Indigenous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4004afff74238">
              <w:r>
                <w:rPr>
                  <w:rStyle w:val="Hyperlink"/>
                </w:rPr>
                <w:t xml:space="preserve">National Healthcare Agreement: PI 16-People deferring access to GPs, medical specialists or prescribed medications due to cost, 2011 QS</w:t>
              </w:r>
            </w:hyperlink>
          </w:p>
          <w:p>
            <w:pPr>
              <w:spacing w:before="0" w:after="0"/>
            </w:pPr>
            <w:r>
              <w:rPr>
                <w:rStyle w:val="row-content"/>
                <w:color w:val="244061"/>
              </w:rPr>
              <w:t xml:space="preserve">       </w:t>
            </w:r>
            <w:hyperlink w:history="true" r:id="R664ec3b0a36744b2">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eb10774571c94f22">
              <w:r>
                <w:rPr>
                  <w:rStyle w:val="Hyperlink"/>
                </w:rPr>
                <w:t xml:space="preserve">National Healthcare Agreement: PI 14-People deferring access to selected healthcare due to financial barriers, 2013 QS</w:t>
              </w:r>
            </w:hyperlink>
          </w:p>
          <w:p>
            <w:pPr>
              <w:spacing w:before="0" w:after="0"/>
            </w:pPr>
            <w:r>
              <w:rPr>
                <w:rStyle w:val="row-content"/>
                <w:color w:val="244061"/>
              </w:rPr>
              <w:t xml:space="preserve">       </w:t>
            </w:r>
            <w:hyperlink w:history="true" r:id="R6834fec49c30423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40e7eec94c4468a">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65f0b665be3a420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51e33952511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42b1c4581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e339525114df5" /><Relationship Type="http://schemas.openxmlformats.org/officeDocument/2006/relationships/header" Target="/word/header1.xml" Id="Rc32b0ab273104cc6" /><Relationship Type="http://schemas.openxmlformats.org/officeDocument/2006/relationships/settings" Target="/word/settings.xml" Id="R0c4ea9a8f4bd4a6f" /><Relationship Type="http://schemas.openxmlformats.org/officeDocument/2006/relationships/styles" Target="/word/styles.xml" Id="Rf5fab07926614db1" /><Relationship Type="http://schemas.openxmlformats.org/officeDocument/2006/relationships/hyperlink" Target="https://meteor.aihw.gov.au/RegistrationAuthority/12" TargetMode="External" Id="R8934bec31073414d" /><Relationship Type="http://schemas.openxmlformats.org/officeDocument/2006/relationships/numbering" Target="/word/numbering.xml" Id="R6cdf9ec958f84b60" /><Relationship Type="http://schemas.openxmlformats.org/officeDocument/2006/relationships/hyperlink" Target="https://meteor.aihw.gov.au/content/448021" TargetMode="External" Id="R2044004afff74238" /><Relationship Type="http://schemas.openxmlformats.org/officeDocument/2006/relationships/hyperlink" Target="https://meteor.aihw.gov.au/RegistrationAuthority/12" TargetMode="External" Id="R664ec3b0a36744b2" /><Relationship Type="http://schemas.openxmlformats.org/officeDocument/2006/relationships/hyperlink" Target="https://meteor.aihw.gov.au/content/511940" TargetMode="External" Id="Reb10774571c94f22" /><Relationship Type="http://schemas.openxmlformats.org/officeDocument/2006/relationships/hyperlink" Target="https://meteor.aihw.gov.au/RegistrationAuthority/12" TargetMode="External" Id="R6834fec49c30423b" /><Relationship Type="http://schemas.openxmlformats.org/officeDocument/2006/relationships/hyperlink" Target="https://meteor.aihw.gov.au/content/436848" TargetMode="External" Id="R040e7eec94c4468a" /><Relationship Type="http://schemas.openxmlformats.org/officeDocument/2006/relationships/hyperlink" Target="https://meteor.aihw.gov.au/RegistrationAuthority/12" TargetMode="External" Id="R65f0b665be3a4209" /></Relationships>
</file>

<file path=word/_rels/header1.xml.rels>&#65279;<?xml version="1.0" encoding="utf-8"?><Relationships xmlns="http://schemas.openxmlformats.org/package/2006/relationships"><Relationship Type="http://schemas.openxmlformats.org/officeDocument/2006/relationships/image" Target="/media/image.png" Id="R98542b1c4581499e" /></Relationships>
</file>