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b6fbddfa542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2bd2ae06347f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dbdd1f43d5434635">
              <w:r>
                <w:rPr>
                  <w:rStyle w:val="Hyperlink"/>
                </w:rPr>
                <w:t xml:space="preserve">www.abs.gov.au</w:t>
              </w:r>
            </w:hyperlink>
            <w:r>
              <w:rPr>
                <w:rStyle w:val="row-content-rich-text"/>
              </w:rPr>
              <w:t xml:space="preserve"> (see </w:t>
            </w:r>
            <w:r>
              <w:rPr>
                <w:rStyle w:val="row-content-rich-text"/>
                <w:i/>
              </w:rPr>
              <w:t xml:space="preserve">Life Tables, Australia, 2008–2010</w:t>
            </w:r>
            <w:r>
              <w:rPr>
                <w:rStyle w:val="row-content-rich-text"/>
              </w:rPr>
              <w:t xml:space="preserve"> (Cat. no. 3302.0.55.001), and </w:t>
            </w:r>
            <w:r>
              <w:rPr>
                <w:rStyle w:val="row-content-rich-text"/>
                <w:i/>
              </w:rPr>
              <w:t xml:space="preserve">Life Tables, States and Territories</w:t>
            </w:r>
            <w:r>
              <w:rPr>
                <w:rStyle w:val="row-content-rich-text"/>
              </w:rPr>
              <w:t xml:space="preserve">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w:t>
            </w:r>
          </w:p>
          <w:p>
            <w:pPr>
              <w:pStyle w:val="ListParagraph"/>
              <w:numPr>
                <w:ilvl w:val="0"/>
                <w:numId w:val="2"/>
              </w:numPr>
            </w:pPr>
            <w:r>
              <w:rPr>
                <w:rStyle w:val="row-content-rich-text"/>
              </w:rPr>
              <w:t xml:space="preserve">Explanatory Notes - </w:t>
            </w:r>
            <w:hyperlink w:history="true" r:id="Ra65c77e78f394598">
              <w:r>
                <w:rPr>
                  <w:rStyle w:val="Hyperlink"/>
                </w:rPr>
                <w:t xml:space="preserve">www.abs.gov.au/AUSSTATS/abs@.nsf/Lookup/3302.0.55.001Explanatory%20Notes12008-2010?OpenDocument</w:t>
              </w:r>
            </w:hyperlink>
            <w:r>
              <w:rPr>
                <w:rStyle w:val="row-content-rich-text"/>
              </w:rPr>
              <w:t xml:space="preserve">  </w:t>
            </w:r>
          </w:p>
          <w:p>
            <w:pPr>
              <w:pStyle w:val="ListParagraph"/>
              <w:numPr>
                <w:ilvl w:val="0"/>
                <w:numId w:val="2"/>
              </w:numPr>
            </w:pPr>
            <w:r>
              <w:rPr>
                <w:rStyle w:val="row-content-rich-text"/>
              </w:rPr>
              <w:t xml:space="preserve">Glossary -  </w:t>
            </w:r>
            <w:hyperlink w:history="true" r:id="Rc65eea9320c94106">
              <w:r>
                <w:rPr>
                  <w:rStyle w:val="Hyperlink"/>
                </w:rPr>
                <w:t xml:space="preserve">www.abs.gov.au/AUSSTATS/abs@.nsf/Latestproducts/3302.0Glossary12010?opendocument&amp;tabname=Notes&amp;prodno=3302.0&amp;issue=2010&amp;num=&amp;view</w:t>
              </w:r>
            </w:hyperlink>
            <w:r>
              <w:rPr>
                <w:rStyle w:val="row-content-rich-text"/>
              </w:rPr>
              <w:t xml:space="preserve">=  </w:t>
            </w:r>
          </w:p>
          <w:p>
            <w:pPr/>
            <w:r>
              <w:rPr>
                <w:rStyle w:val="row-content-rich-text"/>
              </w:rPr>
              <w:t xml:space="preserve">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2008–2010.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3"/>
              </w:numPr>
            </w:pPr>
            <w:r>
              <w:rPr>
                <w:rStyle w:val="row-content-rich-text"/>
              </w:rPr>
              <w:t xml:space="preserve">completeness of an individual record at a given point in time;</w:t>
            </w:r>
          </w:p>
          <w:p>
            <w:pPr>
              <w:pStyle w:val="ListParagraph"/>
              <w:numPr>
                <w:ilvl w:val="0"/>
                <w:numId w:val="3"/>
              </w:numPr>
            </w:pPr>
            <w:r>
              <w:rPr>
                <w:rStyle w:val="row-content-rich-text"/>
              </w:rPr>
              <w:t xml:space="preserve">completeness of the dataset (e.g. impact of registration lags, processing lags and duplicate records);</w:t>
            </w:r>
          </w:p>
          <w:p>
            <w:pPr>
              <w:pStyle w:val="ListParagraph"/>
              <w:numPr>
                <w:ilvl w:val="0"/>
                <w:numId w:val="3"/>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3"/>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7aeedca9034e7a">
              <w:r>
                <w:rPr>
                  <w:rStyle w:val="Hyperlink"/>
                </w:rPr>
                <w:t xml:space="preserve">National Healthcare Agreement: PI 18-Life expectancy, 2011 QS</w:t>
              </w:r>
            </w:hyperlink>
          </w:p>
          <w:p>
            <w:pPr>
              <w:spacing w:before="0" w:after="0"/>
            </w:pPr>
            <w:r>
              <w:rPr>
                <w:rStyle w:val="row-content"/>
                <w:color w:val="244061"/>
              </w:rPr>
              <w:t xml:space="preserve">       </w:t>
            </w:r>
            <w:hyperlink w:history="true" r:id="R3c91f0ad5cdc4210">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4be5a4ea09a6467b">
              <w:r>
                <w:rPr>
                  <w:rStyle w:val="Hyperlink"/>
                </w:rPr>
                <w:t xml:space="preserve">National Healthcare Agreement: PI 06-Life expectancy, 2013 QS</w:t>
              </w:r>
            </w:hyperlink>
          </w:p>
          <w:p>
            <w:pPr>
              <w:spacing w:before="0" w:after="0"/>
            </w:pPr>
            <w:r>
              <w:rPr>
                <w:rStyle w:val="row-content"/>
                <w:color w:val="244061"/>
              </w:rPr>
              <w:t xml:space="preserve">       </w:t>
            </w:r>
            <w:hyperlink w:history="true" r:id="Ra652e32b03d64c7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1fad9d6dbc04c7a">
              <w:r>
                <w:rPr>
                  <w:rStyle w:val="Hyperlink"/>
                </w:rPr>
                <w:t xml:space="preserve">National Healthcare Agreement: PI 18-Life expectancy, 2012</w:t>
              </w:r>
            </w:hyperlink>
          </w:p>
          <w:p>
            <w:pPr>
              <w:spacing w:before="0" w:after="0"/>
            </w:pPr>
            <w:r>
              <w:rPr>
                <w:rStyle w:val="row-content"/>
                <w:color w:val="244061"/>
              </w:rPr>
              <w:t xml:space="preserve">       </w:t>
            </w:r>
            <w:hyperlink w:history="true" r:id="R1d551e7591b44a4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24e85ce068f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4a4e4e1b1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e85ce068f4185" /><Relationship Type="http://schemas.openxmlformats.org/officeDocument/2006/relationships/header" Target="/word/header1.xml" Id="R36cd5f9be41a4c18" /><Relationship Type="http://schemas.openxmlformats.org/officeDocument/2006/relationships/settings" Target="/word/settings.xml" Id="R0b1ed846f87f45d6" /><Relationship Type="http://schemas.openxmlformats.org/officeDocument/2006/relationships/styles" Target="/word/styles.xml" Id="Refa3be6276554910" /><Relationship Type="http://schemas.openxmlformats.org/officeDocument/2006/relationships/hyperlink" Target="https://meteor.aihw.gov.au/RegistrationAuthority/12" TargetMode="External" Id="R1002bd2ae06347fa" /><Relationship Type="http://schemas.openxmlformats.org/officeDocument/2006/relationships/hyperlink" Target="http://www.abs.gov.au" TargetMode="External" Id="Rdbdd1f43d5434635" /><Relationship Type="http://schemas.openxmlformats.org/officeDocument/2006/relationships/numbering" Target="/word/numbering.xml" Id="R2c24037e4f9c491e" /><Relationship Type="http://schemas.openxmlformats.org/officeDocument/2006/relationships/hyperlink" Target="http://www.abs.gov.au/AUSSTATS/abs@.nsf/Lookup/3302.0.55.001Explanatory%20Notes12008-2010?OpenDocument" TargetMode="External" Id="Ra65c77e78f394598" /><Relationship Type="http://schemas.openxmlformats.org/officeDocument/2006/relationships/hyperlink" Target="http://www.abs.gov.au/AUSSTATS/abs@.nsf/Latestproducts/3302.0Glossary12010?opendocument&amp;amp;tabname=Notes&amp;amp;prodno=3302.0&amp;amp;issue=2010&amp;amp;num=&amp;amp;view" TargetMode="External" Id="Rc65eea9320c94106" /><Relationship Type="http://schemas.openxmlformats.org/officeDocument/2006/relationships/hyperlink" Target="https://meteor.aihw.gov.au/content/448025" TargetMode="External" Id="Rba7aeedca9034e7a" /><Relationship Type="http://schemas.openxmlformats.org/officeDocument/2006/relationships/hyperlink" Target="https://meteor.aihw.gov.au/RegistrationAuthority/12" TargetMode="External" Id="R3c91f0ad5cdc4210" /><Relationship Type="http://schemas.openxmlformats.org/officeDocument/2006/relationships/hyperlink" Target="https://meteor.aihw.gov.au/content/511911" TargetMode="External" Id="R4be5a4ea09a6467b" /><Relationship Type="http://schemas.openxmlformats.org/officeDocument/2006/relationships/hyperlink" Target="https://meteor.aihw.gov.au/RegistrationAuthority/12" TargetMode="External" Id="Ra652e32b03d64c7f" /><Relationship Type="http://schemas.openxmlformats.org/officeDocument/2006/relationships/hyperlink" Target="https://meteor.aihw.gov.au/content/443680" TargetMode="External" Id="R31fad9d6dbc04c7a" /><Relationship Type="http://schemas.openxmlformats.org/officeDocument/2006/relationships/hyperlink" Target="https://meteor.aihw.gov.au/RegistrationAuthority/12" TargetMode="External" Id="R1d551e7591b44a4b" /></Relationships>
</file>

<file path=word/_rels/header1.xml.rels>&#65279;<?xml version="1.0" encoding="utf-8"?><Relationships xmlns="http://schemas.openxmlformats.org/package/2006/relationships"><Relationship Type="http://schemas.openxmlformats.org/officeDocument/2006/relationships/image" Target="/media/image.png" Id="Rb1d4a4e4e1b1487c" /></Relationships>
</file>