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f3c26979614ec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20-Potentially avoidable deaths, 2012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20-Potentially avoidable deaths,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500535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b16da90ac14242">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data is published on an annual basis. 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Preliminary estimated resident population (ERP) data is compiled and published quarterly and is generally made available five to six months after the end of each reference quarter. Every year, the 30 June ERP is further disaggregated by sex and single year of age, and is made available five to six months after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ERP data is not changed once it has been finalised. Releasing preliminary, revised and final ERP involves a balance between timeliness and accuracy.</w:t>
            </w:r>
          </w:p>
          <w:p>
            <w:pPr/>
            <w:r>
              <w:rPr>
                <w:rStyle w:val="row-content-rich-text"/>
              </w:rPr>
              <w:t xml:space="preserve">For further information on ABS Estimated Resident Population,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ERP data is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this indicator have been age-standardised, using the direct method, to ‘under 75 years’ of age. Direct age-standardisation to the 2001 total Australian population was used. Age-standardised results provide a measure of relative difference only between populations.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collection include demographic items, as well as causes of death information, which is coded according to the International Classification of Diseases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For further information on the ABS Causes of Death collection,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is obtained from a complete enumeration of deaths registered during a specified period and are not subject to sampling error. However, deaths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All coroner certified deaths registered after 1 January 2007 are subject to a revision process. Causes of death data for 2007 has been subject to two rounds of revision, while the 2008 causes of death data has been subject to the single round of revision, and the 2009 causes of death are preliminary and therefore have not been subject to the revisions process. This is a change from previous years where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 See Technical Note: </w:t>
            </w:r>
            <w:r>
              <w:rPr>
                <w:rStyle w:val="row-content-rich-text"/>
                <w:i/>
              </w:rPr>
              <w:t xml:space="preserve">Causes of Death Revisions in Causes of Death, Australia, 2009</w:t>
            </w:r>
            <w:r>
              <w:rPr>
                <w:rStyle w:val="row-content-rich-text"/>
              </w:rPr>
              <w:t xml:space="preserve"> (Cat. no. 3303.0).</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r>
              <w:rPr>
                <w:rStyle w:val="row-content-rich-text"/>
                <w:i/>
              </w:rPr>
              <w:t xml:space="preserve">Demography Working Paper 1998/2 - Quarterly birth and death estimates, 1998</w:t>
            </w:r>
            <w:r>
              <w:rPr>
                <w:rStyle w:val="row-content-rich-text"/>
              </w:rPr>
              <w:t xml:space="preserve"> (Cat. no. 3114.0). and </w:t>
            </w:r>
            <w:r>
              <w:rPr>
                <w:rStyle w:val="row-content-rich-text"/>
                <w:i/>
              </w:rPr>
              <w:t xml:space="preserve">Australian Demographic Statistics</w:t>
            </w:r>
            <w:r>
              <w:rPr>
                <w:rStyle w:val="row-content-rich-text"/>
              </w:rPr>
              <w:t xml:space="preserve"> (Cat. no. 3101.0).</w:t>
            </w:r>
          </w:p>
          <w:p>
            <w:pPr>
              <w:spacing w:after="160"/>
            </w:pPr>
            <w:r>
              <w:rPr>
                <w:rStyle w:val="row-content-rich-text"/>
              </w:rPr>
              <w:t xml:space="preserve">Non‑Indigenous estimates are available for census years only. In the intervening years, Indigenous population figures are derived from assumptions about past and future levels of fertility, mortality and migration. In the absence of non‑Indigenous population figures for these years, it is possible to derive denominators for calculating non‑Indigenous rates by subtracting the Indigenous population from the total population.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Causes of Death collection do not include death registrations with a ‘not stated’ Indigenous status.</w:t>
            </w:r>
          </w:p>
          <w:p>
            <w:pPr>
              <w:spacing w:after="160"/>
            </w:pPr>
            <w:r>
              <w:rPr>
                <w:rStyle w:val="row-content-rich-text"/>
              </w:rPr>
              <w:t xml:space="preserve">ABS is currently investigating the volatility of Indigenous deaths in WA in recent years. Until this investigation is finalised, the ABS and NIRAPIMG agreed that mortality indicators which include WA deaths data for 2007, 2008 and 2009 (including aggregates of years and jurisdictions) should be excluded from analysis.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All rates in this indicator must be used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36ec0fa69c4f54">
              <w:r>
                <w:rPr>
                  <w:rStyle w:val="Hyperlink"/>
                </w:rPr>
                <w:t xml:space="preserve">National Healthcare Agreement: PI 20-Potentially avoidable deaths, 2011 QS</w:t>
              </w:r>
            </w:hyperlink>
          </w:p>
          <w:p>
            <w:pPr>
              <w:spacing w:before="0" w:after="0"/>
            </w:pPr>
            <w:r>
              <w:rPr>
                <w:rStyle w:val="row-content"/>
                <w:color w:val="244061"/>
              </w:rPr>
              <w:t xml:space="preserve">       </w:t>
            </w:r>
            <w:hyperlink w:history="true" r:id="R006288b321924f57">
              <w:r>
                <w:rPr>
                  <w:rStyle w:val="Hyperlink"/>
                  <w:color w:val="244061"/>
                </w:rPr>
                <w:t xml:space="preserve">Health</w:t>
              </w:r>
            </w:hyperlink>
            <w:r>
              <w:rPr>
                <w:rStyle w:val="row-content"/>
                <w:color w:val="244061"/>
              </w:rPr>
              <w:t xml:space="preserve">, Superseded 04/12/2012</w:t>
            </w:r>
          </w:p>
          <w:p>
            <w:r>
              <w:br/>
            </w:r>
            <w:r>
              <w:rPr>
                <w:rStyle w:val="row-content"/>
              </w:rPr>
              <w:t xml:space="preserve">Has been superseded by </w:t>
            </w:r>
            <w:hyperlink w:history="true" r:id="Re311b28b39da4a39">
              <w:r>
                <w:rPr>
                  <w:rStyle w:val="Hyperlink"/>
                </w:rPr>
                <w:t xml:space="preserve">National Healthcare Agreement: PI 16-Potentially avoidable deaths, 2013 QS</w:t>
              </w:r>
            </w:hyperlink>
          </w:p>
          <w:p>
            <w:pPr>
              <w:spacing w:before="0" w:after="0"/>
            </w:pPr>
            <w:r>
              <w:rPr>
                <w:rStyle w:val="row-content"/>
                <w:color w:val="244061"/>
              </w:rPr>
              <w:t xml:space="preserve">       </w:t>
            </w:r>
            <w:hyperlink w:history="true" r:id="Recd58965653546af">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2f154b62b3a24335">
              <w:r>
                <w:rPr>
                  <w:rStyle w:val="Hyperlink"/>
                </w:rPr>
                <w:t xml:space="preserve">National Healthcare Agreement: PI 20-Potentially avoidable deaths, 2012</w:t>
              </w:r>
            </w:hyperlink>
          </w:p>
          <w:p>
            <w:pPr>
              <w:spacing w:before="0" w:after="0"/>
            </w:pPr>
            <w:r>
              <w:rPr>
                <w:rStyle w:val="row-content"/>
                <w:color w:val="244061"/>
              </w:rPr>
              <w:t xml:space="preserve">       </w:t>
            </w:r>
            <w:hyperlink w:history="true" r:id="R134be55ee23446e2">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c24d7c41f59645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500535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f35d77d7aa43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4d7c41f59645cc" /><Relationship Type="http://schemas.openxmlformats.org/officeDocument/2006/relationships/header" Target="/word/header1.xml" Id="R3fff73adb5d449d7" /><Relationship Type="http://schemas.openxmlformats.org/officeDocument/2006/relationships/settings" Target="/word/settings.xml" Id="R4433d221a7e44d36" /><Relationship Type="http://schemas.openxmlformats.org/officeDocument/2006/relationships/styles" Target="/word/styles.xml" Id="Rfceafd50a9b14136" /><Relationship Type="http://schemas.openxmlformats.org/officeDocument/2006/relationships/hyperlink" Target="https://meteor.aihw.gov.au/RegistrationAuthority/12" TargetMode="External" Id="R4cb16da90ac14242" /><Relationship Type="http://schemas.openxmlformats.org/officeDocument/2006/relationships/hyperlink" Target="https://meteor.aihw.gov.au/content/448029" TargetMode="External" Id="R3f36ec0fa69c4f54" /><Relationship Type="http://schemas.openxmlformats.org/officeDocument/2006/relationships/hyperlink" Target="https://meteor.aihw.gov.au/RegistrationAuthority/12" TargetMode="External" Id="R006288b321924f57" /><Relationship Type="http://schemas.openxmlformats.org/officeDocument/2006/relationships/hyperlink" Target="https://meteor.aihw.gov.au/content/511943" TargetMode="External" Id="Re311b28b39da4a39" /><Relationship Type="http://schemas.openxmlformats.org/officeDocument/2006/relationships/hyperlink" Target="https://meteor.aihw.gov.au/RegistrationAuthority/12" TargetMode="External" Id="Recd58965653546af" /><Relationship Type="http://schemas.openxmlformats.org/officeDocument/2006/relationships/hyperlink" Target="https://meteor.aihw.gov.au/content/443685" TargetMode="External" Id="R2f154b62b3a24335" /><Relationship Type="http://schemas.openxmlformats.org/officeDocument/2006/relationships/hyperlink" Target="https://meteor.aihw.gov.au/RegistrationAuthority/12" TargetMode="External" Id="R134be55ee23446e2" /></Relationships>
</file>

<file path=word/_rels/header1.xml.rels>&#65279;<?xml version="1.0" encoding="utf-8"?><Relationships xmlns="http://schemas.openxmlformats.org/package/2006/relationships"><Relationship Type="http://schemas.openxmlformats.org/officeDocument/2006/relationships/image" Target="/media/image.png" Id="R58f35d77d7aa436d" /></Relationships>
</file>