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2ae1906d03473d"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July 2008–June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July 2008–June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ca28719774d0a">
              <w:r>
                <w:rPr>
                  <w:rStyle w:val="Hyperlink"/>
                  <w:color w:val="244061"/>
                </w:rPr>
                <w:t xml:space="preserve">AIHW Data Quality Statements</w:t>
              </w:r>
            </w:hyperlink>
            <w:r>
              <w:rPr>
                <w:rStyle w:val="row-content"/>
                <w:color w:val="244061"/>
              </w:rPr>
              <w:t xml:space="preserve">, Standard 14/03/2013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a joint program of the Australian Government Department of Health and Ageing and state and territory governments. The NBCSP is monitored annually by the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Concordances for these disaggregations may be unavoidably older than the year(s) of screening data being reported,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 </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1,000, the numerator is less than 5, or the rate could not be sensibly estimated).</w:t>
            </w:r>
          </w:p>
          <w:p>
            <w:pPr>
              <w:spacing w:after="160"/>
            </w:pPr>
            <w:r>
              <w:rPr>
                <w:rStyle w:val="row-content-rich-text"/>
                <w:b/>
              </w:rPr>
              <w:t xml:space="preserve">Description</w:t>
            </w:r>
          </w:p>
          <w:p>
            <w:pPr>
              <w:spacing w:after="160"/>
            </w:pPr>
            <w:r>
              <w:rPr>
                <w:rStyle w:val="row-content-rich-text"/>
              </w:rPr>
              <w:t xml:space="preserve">The NBCSP is a joint program of the Australian Government Department of Health and Ageing and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those Australians registered at Medicare Australia or the Department of Veterans’ Affairs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2013 the program will also include people aged 60, and from 2015 those aged 70. The program will be further expanded in 2017–18 with a phased roll out of biennial screening for those aged 50–74.</w:t>
            </w:r>
          </w:p>
          <w:p>
            <w:pPr>
              <w:spacing w:after="160"/>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2008–June 2011.</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census and are not available for approximately 18 months from the census date. Consequently, socioeconomic status for a geographic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concordance and a POA to socioeconomic status concordance are used to allocate persons screened to remoteness and socioeconomic status categories based on their postcode of residence. Postal areas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concordances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concordance data available as they will not match the old postal areas.</w:t>
            </w:r>
          </w:p>
          <w:p>
            <w:pPr>
              <w:spacing w:after="160"/>
            </w:pPr>
            <w:r>
              <w:rPr>
                <w:rStyle w:val="row-content-rich-text"/>
              </w:rPr>
              <w:t xml:space="preserve">NBCSP outcome data is via non-mandatory form return from GP visits, colonoscopy,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Register. This may also result in some under-reporting of outcome data.</w:t>
            </w:r>
          </w:p>
          <w:p>
            <w:pPr/>
            <w:r>
              <w:rPr>
                <w:rStyle w:val="row-content-rich-text"/>
              </w:rPr>
              <w:t xml:space="preserve">Some data cells have been suppressed for confidentiality and reliability reasons (for example, if the denominator is less than 1,000,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25/10/2012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2dbcc4070250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37beeee77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cc407025043a4" /><Relationship Type="http://schemas.openxmlformats.org/officeDocument/2006/relationships/header" Target="/word/header1.xml" Id="R7b6594d343314a4f" /><Relationship Type="http://schemas.openxmlformats.org/officeDocument/2006/relationships/settings" Target="/word/settings.xml" Id="R14376d38147943c2" /><Relationship Type="http://schemas.openxmlformats.org/officeDocument/2006/relationships/styles" Target="/word/styles.xml" Id="R8bfc5b06aa014d34" /><Relationship Type="http://schemas.openxmlformats.org/officeDocument/2006/relationships/hyperlink" Target="https://meteor.aihw.gov.au/RegistrationAuthority/5" TargetMode="External" Id="R341ca28719774d0a" /><Relationship Type="http://schemas.openxmlformats.org/officeDocument/2006/relationships/numbering" Target="/word/numbering.xml" Id="R4e161e4d8d9d4846" /></Relationships>
</file>

<file path=word/_rels/header1.xml.rels>&#65279;<?xml version="1.0" encoding="utf-8"?><Relationships xmlns="http://schemas.openxmlformats.org/package/2006/relationships"><Relationship Type="http://schemas.openxmlformats.org/officeDocument/2006/relationships/image" Target="/media/image.png" Id="Rc3a37beeee774725" /></Relationships>
</file>