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5573ce67cb4fa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22-Selected potentially preventable hospitalisations,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22-Selected potentially preventable hospitalisations,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9b57c90b8940d0">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Separations are reported by the jurisdiction of usual residence of the patient, not the jurisdiction of hospitalisation.</w:t>
            </w:r>
          </w:p>
          <w:p>
            <w:pPr>
              <w:pStyle w:val="ListParagraph"/>
              <w:numPr>
                <w:ilvl w:val="0"/>
                <w:numId w:val="2"/>
              </w:numPr>
            </w:pPr>
            <w:r>
              <w:rPr>
                <w:rStyle w:val="row-content-rich-text"/>
              </w:rPr>
              <w:t xml:space="preserve">Caution should be used in comparing 2007–08 data with later years as changes between the International Statistical Classification of Diseases and Related Health Problems, Tenth Revision, Australian Modification (ICD-10-AM) 5th edition (used in 2007–08) and ICD-10-AM 6th edition (used in 2008–09 and 2009–10) and the associated Australian Coding Standards resulted in decreased reporting of additional diagnoses for diabetes, and increased reporting of gastroenteritis (chronic and acute categories, respectively, affected). These changes should also be taken into consideration in interpretation of these data against the National Healthcare Agreement performance benchmark for potentially preventable hospitalisations. </w:t>
            </w:r>
          </w:p>
          <w:p>
            <w:pPr>
              <w:pStyle w:val="ListParagraph"/>
              <w:numPr>
                <w:ilvl w:val="0"/>
                <w:numId w:val="2"/>
              </w:numPr>
            </w:pPr>
            <w:r>
              <w:rPr>
                <w:rStyle w:val="row-content-rich-text"/>
              </w:rPr>
              <w:t xml:space="preserve">In addition, interpretation of the related performance benchmark over time is problematic because the benchmark is specified as a proportion of separations rather than a population rate, and admission practices vary across jurisdictions and over time. </w:t>
            </w:r>
          </w:p>
          <w:p>
            <w:pPr>
              <w:pStyle w:val="ListParagraph"/>
              <w:numPr>
                <w:ilvl w:val="0"/>
                <w:numId w:val="2"/>
              </w:numPr>
            </w:pPr>
            <w:r>
              <w:rPr>
                <w:rStyle w:val="row-content-rich-text"/>
              </w:rPr>
              <w:t xml:space="preserve">The hospital separations data do not include episodes of non-admitted patient care provided in outpatient clinics or emergency departments.</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a1044e8aa34240a9">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Some 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Australian hospital statistics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National Minimum Data Set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state and territory, remoteness and socioeconomic status are based on the Statistical Local Area (SLA) of usual residence of the patient, not the location of the hospital. Hence rates represent the number separations for patients living in each State or Territory, remoteness area or Socio-Economic Indexes for Areas (SEIFA) population group (regardless of the jurisdiction of the hospital they were admitted to) divided by the total number of people living in that remoteness area or SEIFA group in the State or Territory.</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2009 SLAs (used for 2009–10 data), 2009 SLA boundaries are mapped backed to 2006 SLA boundaries. It is possible that the demographic profile of some areas may have changed between 2006 and 2009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almost all public hospitals provided data for the NHMD, with the exception of all separations for a mothercraft hospital in the Australian Capital Territory and about 2,400 separations for one public hospital in Western Australia.</w:t>
            </w:r>
          </w:p>
          <w:p>
            <w:pPr>
              <w:spacing w:after="160"/>
            </w:pPr>
            <w:r>
              <w:rPr>
                <w:rStyle w:val="row-content-rich-text"/>
              </w:rPr>
              <w:t xml:space="preserve">The majority of private hospitals provided data, with the exception of the private day hospital facilities in the Australian Capital Territory and the Northern Territory. In addition, Western Australia was not able to provide about 10,600 separations for one private hospital.</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Indigenous status data are of sufficient quality for statistical reporting for the following jurisdictions: New South Wales, Victoria, Queensland, South Australia and Western Australia (public and private hospitals) and Northern Territory (public hospitals only). National totals include these six jurisdictions only. Indigenous status data reported for Tasmania and Australian Capital Territory (public and private hospitals) should be interpreted with caution until further assessment of Indigenous identification is completed.</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 was applied:</w:t>
            </w:r>
          </w:p>
          <w:p>
            <w:pPr>
              <w:pStyle w:val="ListParagraph"/>
              <w:numPr>
                <w:ilvl w:val="0"/>
                <w:numId w:val="4"/>
              </w:numPr>
            </w:pPr>
            <w:r>
              <w:rPr>
                <w:rStyle w:val="row-content-rich-text"/>
              </w:rPr>
              <w:t xml:space="preserve">Rates were suppressed where the numerator was less than 5 and/or the denominator was less than 1,000.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2009–10 and the National healthcare agreement: performance report 2009–10.</w:t>
            </w:r>
          </w:p>
          <w:p>
            <w:pPr>
              <w:spacing w:after="160"/>
            </w:pPr>
            <w:r>
              <w:rPr>
                <w:rStyle w:val="row-content-rich-text"/>
              </w:rPr>
              <w:t xml:space="preserve">However, caution should be used when comparing 2007–08 with later years due to changes between the ICD-10-AM 5th edition (used in 2007–08) and ICD‑10-AM 6th edition (used in 2008–09 and 2009–10) and the associated Australian Coding Standards that resulted in:</w:t>
            </w:r>
          </w:p>
          <w:p>
            <w:pPr>
              <w:pStyle w:val="ListParagraph"/>
              <w:numPr>
                <w:ilvl w:val="0"/>
                <w:numId w:val="5"/>
              </w:numPr>
            </w:pPr>
            <w:r>
              <w:rPr>
                <w:rStyle w:val="row-content-rich-text"/>
              </w:rPr>
              <w:t xml:space="preserve">decreased reporting of additional diagnoses for diabetes</w:t>
            </w:r>
          </w:p>
          <w:p>
            <w:pPr>
              <w:pStyle w:val="ListParagraph"/>
              <w:numPr>
                <w:ilvl w:val="0"/>
                <w:numId w:val="5"/>
              </w:numPr>
            </w:pPr>
            <w:r>
              <w:rPr>
                <w:rStyle w:val="row-content-rich-text"/>
              </w:rPr>
              <w:t xml:space="preserve">increased reporting of diagnoses for dehydration and gastroenteritis. </w:t>
            </w:r>
          </w:p>
          <w:p>
            <w:pPr>
              <w:spacing w:after="160"/>
            </w:pPr>
            <w:r>
              <w:rPr>
                <w:rStyle w:val="row-content-rich-text"/>
              </w:rPr>
              <w:t xml:space="preserve">In light of these comparability issues, supplementary data (as specified below) have also been supplied and may assist in the interpretation of time series. However it should be acknowledged that these data are not consistent with the original intent of the indicator.</w:t>
            </w:r>
          </w:p>
          <w:p>
            <w:pPr>
              <w:pStyle w:val="ListParagraph"/>
              <w:numPr>
                <w:ilvl w:val="0"/>
                <w:numId w:val="6"/>
              </w:numPr>
            </w:pPr>
            <w:r>
              <w:rPr>
                <w:rStyle w:val="row-content-rich-text"/>
              </w:rPr>
              <w:t xml:space="preserve">Diabetes complications (all diagnoses) and Dehydration and gastroenteritis excluded </w:t>
            </w:r>
          </w:p>
          <w:p>
            <w:pPr>
              <w:pStyle w:val="ListParagraph"/>
              <w:numPr>
                <w:ilvl w:val="0"/>
                <w:numId w:val="6"/>
              </w:numPr>
            </w:pPr>
            <w:r>
              <w:rPr>
                <w:rStyle w:val="row-content-rich-text"/>
              </w:rPr>
              <w:t xml:space="preserve">Diabetes complications (additional diagnoses only) and Dehydration and gastroenteritis excluded. </w:t>
            </w:r>
          </w:p>
          <w:p>
            <w:pPr>
              <w:spacing w:after="160"/>
            </w:pPr>
            <w:r>
              <w:rPr>
                <w:rStyle w:val="row-content-rich-text"/>
              </w:rPr>
              <w:t xml:space="preserve">In addition, Tasmanian data are not comparable over time as 2008–09 data for Tasmania does not include two private hospitals that were included in 2007–08 and 2009–10 data reported in the National Healthcare Agreement performance reports.</w:t>
            </w:r>
          </w:p>
          <w:p>
            <w:pPr>
              <w:spacing w:after="160"/>
            </w:pPr>
            <w:r>
              <w:rPr>
                <w:rStyle w:val="row-content-rich-text"/>
              </w:rPr>
              <w:t xml:space="preserve">Interpretation of the related performance benchmark over time is also problematic because the benchmark is specified as a proportion of separations rather than a population rate, and admission practices vary across jurisdictions and over time. Changes in a jurisdiction’s denominator (separations) can artificially increase or decrease the results of the benchmark. Therefore the data provided in 2014–15 (and interim years) may not be directly comparable to the baseline data from which the target is based.</w:t>
            </w:r>
          </w:p>
          <w:p>
            <w:pPr/>
            <w:r>
              <w:rPr>
                <w:rStyle w:val="row-content-rich-text"/>
              </w:rPr>
              <w:t xml:space="preserve">Caution is also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ebce80008a4d31">
              <w:r>
                <w:rPr>
                  <w:rStyle w:val="Hyperlink"/>
                </w:rPr>
                <w:t xml:space="preserve">National Healthcare Agreement: PI 22-Selected potentially preventable hospitalisations, 2011 QS</w:t>
              </w:r>
            </w:hyperlink>
          </w:p>
          <w:p>
            <w:pPr>
              <w:spacing w:before="0" w:after="0"/>
            </w:pPr>
            <w:r>
              <w:rPr>
                <w:rStyle w:val="row-content"/>
                <w:color w:val="244061"/>
              </w:rPr>
              <w:t xml:space="preserve">       </w:t>
            </w:r>
            <w:hyperlink w:history="true" r:id="R94c360ce766d4c2e">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6db513b43b8c4e50">
              <w:r>
                <w:rPr>
                  <w:rStyle w:val="Hyperlink"/>
                </w:rPr>
                <w:t xml:space="preserve">National Healthcare Agreement: PI 18-Selected potentially preventable hospitalisations, 2013 QS</w:t>
              </w:r>
            </w:hyperlink>
          </w:p>
          <w:p>
            <w:pPr>
              <w:spacing w:before="0" w:after="0"/>
            </w:pPr>
            <w:r>
              <w:rPr>
                <w:rStyle w:val="row-content"/>
                <w:color w:val="244061"/>
              </w:rPr>
              <w:t xml:space="preserve">       </w:t>
            </w:r>
            <w:hyperlink w:history="true" r:id="Rdc28d8fca15f40b9">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e14c3e9d088494d">
              <w:r>
                <w:rPr>
                  <w:rStyle w:val="Hyperlink"/>
                </w:rPr>
                <w:t xml:space="preserve">National Healthcare Agreement: PI 22-Selected potentially preventable hospitalisations, 2012</w:t>
              </w:r>
            </w:hyperlink>
          </w:p>
          <w:p>
            <w:pPr>
              <w:spacing w:before="0" w:after="0"/>
            </w:pPr>
            <w:r>
              <w:rPr>
                <w:rStyle w:val="row-content"/>
                <w:color w:val="244061"/>
              </w:rPr>
              <w:t xml:space="preserve">       </w:t>
            </w:r>
            <w:hyperlink w:history="true" r:id="Rf512f4bfffac4ddc">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d96eb72ecdd947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500465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81f9e2a0864c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6eb72ecdd9476d" /><Relationship Type="http://schemas.openxmlformats.org/officeDocument/2006/relationships/header" Target="/word/header1.xml" Id="Rfb84834c4e4846b3" /><Relationship Type="http://schemas.openxmlformats.org/officeDocument/2006/relationships/settings" Target="/word/settings.xml" Id="R7acee68d6f844fec" /><Relationship Type="http://schemas.openxmlformats.org/officeDocument/2006/relationships/styles" Target="/word/styles.xml" Id="Re172304094b4407b" /><Relationship Type="http://schemas.openxmlformats.org/officeDocument/2006/relationships/hyperlink" Target="https://meteor.aihw.gov.au/RegistrationAuthority/12" TargetMode="External" Id="R5e9b57c90b8940d0" /><Relationship Type="http://schemas.openxmlformats.org/officeDocument/2006/relationships/numbering" Target="/word/numbering.xml" Id="R45e46df2107c430f" /><Relationship Type="http://schemas.openxmlformats.org/officeDocument/2006/relationships/hyperlink" Target="http://www.aihw.gov.au/WorkArea/DownloadAsset.aspx?id=6442472807&amp;amp;libID=6442472788" TargetMode="External" Id="Ra1044e8aa34240a9" /><Relationship Type="http://schemas.openxmlformats.org/officeDocument/2006/relationships/hyperlink" Target="https://meteor.aihw.gov.au/content/448108" TargetMode="External" Id="R21ebce80008a4d31" /><Relationship Type="http://schemas.openxmlformats.org/officeDocument/2006/relationships/hyperlink" Target="https://meteor.aihw.gov.au/RegistrationAuthority/12" TargetMode="External" Id="R94c360ce766d4c2e" /><Relationship Type="http://schemas.openxmlformats.org/officeDocument/2006/relationships/hyperlink" Target="https://meteor.aihw.gov.au/content/507151" TargetMode="External" Id="R6db513b43b8c4e50" /><Relationship Type="http://schemas.openxmlformats.org/officeDocument/2006/relationships/hyperlink" Target="https://meteor.aihw.gov.au/RegistrationAuthority/12" TargetMode="External" Id="Rdc28d8fca15f40b9" /><Relationship Type="http://schemas.openxmlformats.org/officeDocument/2006/relationships/hyperlink" Target="https://meteor.aihw.gov.au/content/443687" TargetMode="External" Id="R6e14c3e9d088494d" /><Relationship Type="http://schemas.openxmlformats.org/officeDocument/2006/relationships/hyperlink" Target="https://meteor.aihw.gov.au/RegistrationAuthority/12" TargetMode="External" Id="Rf512f4bfffac4ddc" /></Relationships>
</file>

<file path=word/_rels/header1.xml.rels>&#65279;<?xml version="1.0" encoding="utf-8"?><Relationships xmlns="http://schemas.openxmlformats.org/package/2006/relationships"><Relationship Type="http://schemas.openxmlformats.org/officeDocument/2006/relationships/image" Target="/media/image.png" Id="R1181f9e2a0864c31" /></Relationships>
</file>