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ee4b73179045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06f72ef6045e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Separations are reported by the jurisdiction of usual residence of the patient, not the jurisdiction of hospitalisation.</w:t>
            </w:r>
          </w:p>
          <w:p>
            <w:pPr>
              <w:pStyle w:val="ListParagraph"/>
              <w:numPr>
                <w:ilvl w:val="0"/>
                <w:numId w:val="2"/>
              </w:numPr>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5th edition (used in 2007–08) and ICD-10-AM 6th edition (used in 2008–09 and 2009–10)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75e0531083674f25">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 or Territory, remoteness area or Socio-Economic Indexes for Areas (SEIFA) population group (regardless of the jurisdiction of the hospital they were admitted to) divided by the total number of people living in that remoteness area or SEIFA group in the State or 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2009–10 and the National healthcare agreement: performance report 2009–10.</w:t>
            </w:r>
          </w:p>
          <w:p>
            <w:pPr>
              <w:spacing w:after="160"/>
            </w:pPr>
            <w:r>
              <w:rPr>
                <w:rStyle w:val="row-content-rich-text"/>
              </w:rPr>
              <w:t xml:space="preserve">However, caution should be used when comparing 2007–08 with later years due to changes between the ICD-10-AM 5th edition (used in 2007–08) and ICD‑10-AM 6th edition (used in 2008–09 and 2009–10) and the associated Australian Coding Standards that resulted in:</w:t>
            </w:r>
          </w:p>
          <w:p>
            <w:pPr>
              <w:pStyle w:val="ListParagraph"/>
              <w:numPr>
                <w:ilvl w:val="0"/>
                <w:numId w:val="5"/>
              </w:numPr>
            </w:pPr>
            <w:r>
              <w:rPr>
                <w:rStyle w:val="row-content-rich-text"/>
              </w:rPr>
              <w:t xml:space="preserve">decreased reporting of additional diagnoses for diabetes</w:t>
            </w:r>
          </w:p>
          <w:p>
            <w:pPr>
              <w:pStyle w:val="ListParagraph"/>
              <w:numPr>
                <w:ilvl w:val="0"/>
                <w:numId w:val="5"/>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supplementary data (as specified below) have also been supplied and may assist in the interpretation of time series. However it should be acknowledged that these data are not consistent with the original intent of the indicator.</w:t>
            </w:r>
          </w:p>
          <w:p>
            <w:pPr>
              <w:pStyle w:val="ListParagraph"/>
              <w:numPr>
                <w:ilvl w:val="0"/>
                <w:numId w:val="6"/>
              </w:numPr>
            </w:pPr>
            <w:r>
              <w:rPr>
                <w:rStyle w:val="row-content-rich-text"/>
              </w:rPr>
              <w:t xml:space="preserve">Diabetes complications (all diagnoses) and Dehydration and gastroenteritis excluded </w:t>
            </w:r>
          </w:p>
          <w:p>
            <w:pPr>
              <w:pStyle w:val="ListParagraph"/>
              <w:numPr>
                <w:ilvl w:val="0"/>
                <w:numId w:val="6"/>
              </w:numPr>
            </w:pPr>
            <w:r>
              <w:rPr>
                <w:rStyle w:val="row-content-rich-text"/>
              </w:rPr>
              <w:t xml:space="preserve">Diabetes complications (additional diagnoses only) and Dehydration and gastroenteritis excluded. </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2c2fe03f7f4c4d">
              <w:r>
                <w:rPr>
                  <w:rStyle w:val="Hyperlink"/>
                </w:rPr>
                <w:t xml:space="preserve">National Healthcare Agreement: PI 22-Selected potentially preventable hospitalisations, 2011 QS</w:t>
              </w:r>
            </w:hyperlink>
          </w:p>
          <w:p>
            <w:pPr>
              <w:spacing w:before="0" w:after="0"/>
            </w:pPr>
            <w:r>
              <w:rPr>
                <w:rStyle w:val="row-content"/>
                <w:color w:val="244061"/>
              </w:rPr>
              <w:t xml:space="preserve">       </w:t>
            </w:r>
            <w:hyperlink w:history="true" r:id="R6baa46a8818941cb">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9cea71fb8d3a45c0">
              <w:r>
                <w:rPr>
                  <w:rStyle w:val="Hyperlink"/>
                </w:rPr>
                <w:t xml:space="preserve">National Healthcare Agreement: PI 18-Selected potentially preventable hospitalisations, 2013 QS</w:t>
              </w:r>
            </w:hyperlink>
          </w:p>
          <w:p>
            <w:pPr>
              <w:spacing w:before="0" w:after="0"/>
            </w:pPr>
            <w:r>
              <w:rPr>
                <w:rStyle w:val="row-content"/>
                <w:color w:val="244061"/>
              </w:rPr>
              <w:t xml:space="preserve">       </w:t>
            </w:r>
            <w:hyperlink w:history="true" r:id="R79f0a18b5cfb400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cd191a43284909">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7ed331f958794c2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364de99ad8b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af5d94528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4de99ad8b4d6b" /><Relationship Type="http://schemas.openxmlformats.org/officeDocument/2006/relationships/header" Target="/word/header1.xml" Id="R41b9a9f0636246f9" /><Relationship Type="http://schemas.openxmlformats.org/officeDocument/2006/relationships/settings" Target="/word/settings.xml" Id="R276413a74b2e4f6a" /><Relationship Type="http://schemas.openxmlformats.org/officeDocument/2006/relationships/styles" Target="/word/styles.xml" Id="Ra097faabf5f34d35" /><Relationship Type="http://schemas.openxmlformats.org/officeDocument/2006/relationships/hyperlink" Target="https://meteor.aihw.gov.au/RegistrationAuthority/12" TargetMode="External" Id="R32006f72ef6045e2" /><Relationship Type="http://schemas.openxmlformats.org/officeDocument/2006/relationships/numbering" Target="/word/numbering.xml" Id="Re28574fa7c8445d1" /><Relationship Type="http://schemas.openxmlformats.org/officeDocument/2006/relationships/hyperlink" Target="http://www.aihw.gov.au/WorkArea/DownloadAsset.aspx?id=6442472807&amp;amp;libID=6442472788" TargetMode="External" Id="R75e0531083674f25" /><Relationship Type="http://schemas.openxmlformats.org/officeDocument/2006/relationships/hyperlink" Target="https://meteor.aihw.gov.au/content/448108" TargetMode="External" Id="R5d2c2fe03f7f4c4d" /><Relationship Type="http://schemas.openxmlformats.org/officeDocument/2006/relationships/hyperlink" Target="https://meteor.aihw.gov.au/RegistrationAuthority/12" TargetMode="External" Id="R6baa46a8818941cb" /><Relationship Type="http://schemas.openxmlformats.org/officeDocument/2006/relationships/hyperlink" Target="https://meteor.aihw.gov.au/content/507151" TargetMode="External" Id="R9cea71fb8d3a45c0" /><Relationship Type="http://schemas.openxmlformats.org/officeDocument/2006/relationships/hyperlink" Target="https://meteor.aihw.gov.au/RegistrationAuthority/12" TargetMode="External" Id="R79f0a18b5cfb4002" /><Relationship Type="http://schemas.openxmlformats.org/officeDocument/2006/relationships/hyperlink" Target="https://meteor.aihw.gov.au/content/443687" TargetMode="External" Id="Reacd191a43284909" /><Relationship Type="http://schemas.openxmlformats.org/officeDocument/2006/relationships/hyperlink" Target="https://meteor.aihw.gov.au/RegistrationAuthority/12" TargetMode="External" Id="R7ed331f958794c27" /></Relationships>
</file>

<file path=word/_rels/header1.xml.rels>&#65279;<?xml version="1.0" encoding="utf-8"?><Relationships xmlns="http://schemas.openxmlformats.org/package/2006/relationships"><Relationship Type="http://schemas.openxmlformats.org/officeDocument/2006/relationships/image" Target="/media/image.png" Id="Rf81af5d945284824" /></Relationships>
</file>