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772256ad74a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e15e851d14ad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1837e28a87564cf2">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Community Mental Health Care (CMHC) National Minimum Data Set (NMDS)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Community Mental Health Care Database (NCMHCD) are published annually in </w:t>
            </w:r>
            <w:r>
              <w:rPr>
                <w:rStyle w:val="row-content-rich-text"/>
                <w:i/>
              </w:rPr>
              <w:t xml:space="preserve">Mental health services in Australia</w:t>
            </w:r>
            <w:r>
              <w:rPr>
                <w:rStyle w:val="row-content-rich-text"/>
              </w:rPr>
              <w:t xml:space="preserve"> (Section 4), which is available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24-hour staffed specialised residential mental health services, i.e. the scope of the CMHC NMDS is non‑admitted, non-residential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p>
          <w:p>
            <w:pPr>
              <w:spacing w:after="160"/>
            </w:pPr>
            <w:r>
              <w:rPr>
                <w:rStyle w:val="row-content-rich-text"/>
              </w:rPr>
              <w:t xml:space="preserve">Tasmania and the Northern Territory estimates that there could be a deficit of between 25–35 per cent of service contact records, while coverage for the remainder of the jurisdictions is estimated to be between 83–100 per cent.</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records to determine the accuracy of data provided. However, routine data quality checks are conducted by the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These data are subject to a quality process to examine possible inclusion of some duplicate counts. Based on preliminary analysis of Victorian data, over-recording is estimated to account for less than 5 per cent of total.</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is missing for 9 per cent of contacts.</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The following rules were applied:</w:t>
            </w:r>
          </w:p>
          <w:p>
            <w:pPr>
              <w:pStyle w:val="ListParagraph"/>
              <w:numPr>
                <w:ilvl w:val="0"/>
                <w:numId w:val="3"/>
              </w:numPr>
            </w:pPr>
            <w:r>
              <w:rPr>
                <w:rStyle w:val="row-content-rich-text"/>
              </w:rPr>
              <w:t xml:space="preserve">Rates were suppressed where the denominator was less than 1,000 or where the rates appear misleading (for example, because of cross 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has been no change to the methodology used to collect the data in 2009‑10 in most jurisdictions. Data for all jurisdictions, except Queensland, are comparable to 2008‑09.</w:t>
            </w:r>
          </w:p>
          <w:p>
            <w:pPr>
              <w:spacing w:after="160"/>
            </w:pPr>
            <w:r>
              <w:rPr>
                <w:rStyle w:val="row-content-rich-text"/>
              </w:rPr>
              <w:t xml:space="preserve">During 2008‑09, Queensland introduced a new state-wide clinical information system. Consequently, data for the 2008‑09 reference period has been sourced from both the legacy applications and the new information system. Whilst the new system provided an improved mechanism for the capture of clinical, legislative and activity data for mental health, there were a number of implementation issues which impacted on the entry of data. In addition, the underpinning data model is a modification from the model implemented in the legacy applications and effectively sets a new baseline for reporting from 2009‑10.</w:t>
            </w:r>
          </w:p>
          <w:p>
            <w:pPr/>
            <w:r>
              <w:rPr>
                <w:rStyle w:val="row-content-rich-text"/>
              </w:rPr>
              <w:t xml:space="preserve">The data used in this indicator are routinely published in the AIHW publication </w:t>
            </w:r>
            <w:r>
              <w:rPr>
                <w:rStyle w:val="row-content-rich-text"/>
                <w:i/>
              </w:rPr>
              <w:t xml:space="preserve">Mental health services in Australia</w:t>
            </w:r>
            <w:r>
              <w:rPr>
                <w:rStyle w:val="row-content-rich-text"/>
              </w:rPr>
              <w:t xml:space="preserve">. However, there may be some differences in the calculated rates in that publication due to the use of different estimated resident populations (ERPs) other than June 2009 ERPs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f5cae49b76437a">
              <w:r>
                <w:rPr>
                  <w:rStyle w:val="Hyperlink"/>
                </w:rPr>
                <w:t xml:space="preserve">National Healthcare Agreement: PI 28: Public sector community mental health services, 2011 QS</w:t>
              </w:r>
            </w:hyperlink>
          </w:p>
          <w:p>
            <w:pPr>
              <w:pStyle w:val="registration-status"/>
              <w:spacing w:before="0" w:after="0"/>
            </w:pPr>
            <w:hyperlink w:history="true" r:id="R938fc06f74d1493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abcda4270d4470b">
              <w:r>
                <w:rPr>
                  <w:rStyle w:val="Hyperlink"/>
                </w:rPr>
                <w:t xml:space="preserve">National Healthcare Agreement: PI 28-Public sector community mental health services, 2012</w:t>
              </w:r>
            </w:hyperlink>
          </w:p>
          <w:p>
            <w:pPr>
              <w:pStyle w:val="registration-status"/>
              <w:spacing w:before="0" w:after="0"/>
            </w:pPr>
            <w:hyperlink w:history="true" r:id="Rc79b38bfb145413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c71b664da58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9f5334719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1b664da5843a4" /><Relationship Type="http://schemas.openxmlformats.org/officeDocument/2006/relationships/header" Target="/word/header1.xml" Id="R1c0dc36a5b354b36" /><Relationship Type="http://schemas.openxmlformats.org/officeDocument/2006/relationships/settings" Target="/word/settings.xml" Id="Rc9928f7515fa4ba4" /><Relationship Type="http://schemas.openxmlformats.org/officeDocument/2006/relationships/styles" Target="/word/styles.xml" Id="Re6b2af6c143044f1" /><Relationship Type="http://schemas.openxmlformats.org/officeDocument/2006/relationships/numbering" Target="/word/numbering.xml" Id="R72fb06ba92b14649" /><Relationship Type="http://schemas.openxmlformats.org/officeDocument/2006/relationships/hyperlink" Target="https://meteor.aihw.gov.au/RegistrationAuthority/12" TargetMode="External" Id="R74ae15e851d14ade" /><Relationship Type="http://schemas.openxmlformats.org/officeDocument/2006/relationships/hyperlink" Target="http://www.aihw.gov.au/WorkArea/DownloadAsset.aspx?id=6442472807&amp;libID=6442472788" TargetMode="External" Id="R1837e28a87564cf2" /><Relationship Type="http://schemas.openxmlformats.org/officeDocument/2006/relationships/hyperlink" Target="https://meteor.aihw.gov.au/content/448128" TargetMode="External" Id="R66f5cae49b76437a" /><Relationship Type="http://schemas.openxmlformats.org/officeDocument/2006/relationships/hyperlink" Target="https://meteor.aihw.gov.au/RegistrationAuthority/12" TargetMode="External" Id="R938fc06f74d14938" /><Relationship Type="http://schemas.openxmlformats.org/officeDocument/2006/relationships/hyperlink" Target="https://meteor.aihw.gov.au/content/435854" TargetMode="External" Id="R5abcda4270d4470b" /><Relationship Type="http://schemas.openxmlformats.org/officeDocument/2006/relationships/hyperlink" Target="https://meteor.aihw.gov.au/RegistrationAuthority/12" TargetMode="External" Id="Rc79b38bfb1454134" /></Relationships>
</file>

<file path=word/_rels/header1.xml.rels>&#65279;<?xml version="1.0" encoding="utf-8"?><Relationships xmlns="http://schemas.openxmlformats.org/package/2006/relationships"><Relationship Type="http://schemas.openxmlformats.org/officeDocument/2006/relationships/image" Target="/media/image.png" Id="R78e9f533471949a6" /></Relationships>
</file>