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af4a2675e140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39-Healthcare-associated Staphylococcus aureus (including MRSA) bacteraemia in acute care hospitals, 2012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39-Healthcare-associated Staphylococcus aureus (including MRSA) bacteraemia in acute care hospitals,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9c39a521b4fd7">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uses a definition of a patient episode of </w:t>
            </w:r>
            <w:r>
              <w:rPr>
                <w:rStyle w:val="row-content-rich-text"/>
                <w:i/>
              </w:rPr>
              <w:t xml:space="preserve">Staphylococcus aureus</w:t>
            </w:r>
            <w:r>
              <w:rPr>
                <w:rStyle w:val="row-content-rich-text"/>
              </w:rPr>
              <w:t xml:space="preserve"> bacteraemia (SAB) agreed by all states and territories and used by all states and territories.</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w:t>
            </w:r>
          </w:p>
          <w:p>
            <w:pPr>
              <w:spacing w:after="160"/>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w:t>
            </w:r>
          </w:p>
          <w:p>
            <w:pPr>
              <w:spacing w:after="160"/>
            </w:pPr>
            <w:r>
              <w:rPr>
                <w:rStyle w:val="row-content-rich-text"/>
              </w:rPr>
              <w:t xml:space="preserve">The data for 2010‑11 are comparable with those from 2009‑10 except for New South Wales and the Northern Territory.</w:t>
            </w:r>
          </w:p>
          <w:p>
            <w:pPr/>
            <w:r>
              <w:rPr>
                <w:rStyle w:val="row-content-rich-text"/>
              </w:rPr>
              <w:t xml:space="preserve">The patient day and coverage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statutory authority within the Health and Ageing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this data is 2010‑11.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NSW South Wales: Your Health Service public website reports SAB by individual hospital:</w:t>
            </w:r>
          </w:p>
          <w:p>
            <w:hyperlink w:history="true" r:id="R69db0b4e5c924a66">
              <w:r>
                <w:rPr>
                  <w:rStyle w:val="Hyperlink"/>
                </w:rPr>
                <w:t xml:space="preserve">http://www.health.nsw.gov.au/hospitals/search.asp</w:t>
              </w:r>
            </w:hyperlink>
            <w:r>
              <w:rPr>
                <w:rStyle w:val="row-content-rich-text"/>
              </w:rPr>
              <w:t xml:space="preserve">  </w:t>
            </w:r>
          </w:p>
          <w:p>
            <w:pPr>
              <w:spacing w:after="160"/>
            </w:pPr>
            <w:r>
              <w:rPr>
                <w:rStyle w:val="row-content-rich-text"/>
              </w:rPr>
              <w:t xml:space="preserve">New South Wales: Healthcare associated infections reporting for 8 infection indicators by state.</w:t>
            </w:r>
          </w:p>
          <w:p>
            <w:hyperlink w:history="true" r:id="R73bd3273cc5d4a3b">
              <w:r>
                <w:rPr>
                  <w:rStyle w:val="Hyperlink"/>
                </w:rPr>
                <w:t xml:space="preserve">http://www.health.nsw.gov.au/quality/hai/index.asp</w:t>
              </w:r>
            </w:hyperlink>
          </w:p>
          <w:p>
            <w:pPr>
              <w:spacing w:after="160"/>
            </w:pPr>
            <w:r>
              <w:rPr>
                <w:rStyle w:val="row-content-rich-text"/>
              </w:rPr>
              <w:t xml:space="preserve">Tasmania:</w:t>
            </w:r>
            <w:r>
              <w:rPr>
                <w:rStyle w:val="row-content-rich-text"/>
                <w:i/>
              </w:rPr>
              <w:t xml:space="preserve"> Acute public hospitals healthcare associated infection surveillance report</w:t>
            </w:r>
            <w:r>
              <w:rPr>
                <w:rStyle w:val="row-content-rich-text"/>
              </w:rPr>
              <w:t xml:space="preserve">.</w:t>
            </w:r>
          </w:p>
          <w:p>
            <w:hyperlink w:history="true" r:id="R700f52b3560c45e1">
              <w:r>
                <w:rPr>
                  <w:rStyle w:val="Hyperlink"/>
                </w:rPr>
                <w:t xml:space="preserve">http://www.dhhs.tas.gov.au/peh/tasmanian_infection_prevention_and_control_unit/publications_and_guidelines</w:t>
              </w:r>
            </w:hyperlink>
          </w:p>
          <w:p>
            <w:pPr>
              <w:spacing w:after="160"/>
            </w:pPr>
            <w:r>
              <w:rPr>
                <w:rStyle w:val="row-content-rich-text"/>
              </w:rPr>
              <w:t xml:space="preserve">Western Australia: </w:t>
            </w:r>
            <w:r>
              <w:rPr>
                <w:rStyle w:val="row-content-rich-text"/>
                <w:i/>
              </w:rPr>
              <w:t xml:space="preserve">Healthcare Associated Infection Unit - Annual Report</w:t>
            </w:r>
          </w:p>
          <w:p>
            <w:hyperlink w:history="true" r:id="R3e00f7be7df44b47">
              <w:r>
                <w:rPr>
                  <w:rStyle w:val="Hyperlink"/>
                </w:rPr>
                <w:t xml:space="preserve">http://www.public.health.wa.gov.au/3/455/3/reports__healthcare_associated_infection_unit.pm</w:t>
              </w:r>
            </w:hyperlink>
            <w:r>
              <w:rPr>
                <w:rStyle w:val="row-content-rich-text"/>
              </w:rPr>
              <w:t xml:space="preserve">  </w:t>
            </w:r>
          </w:p>
          <w:p>
            <w:pPr>
              <w:spacing w:after="160"/>
            </w:pPr>
            <w:r>
              <w:rPr>
                <w:rStyle w:val="row-content-rich-text"/>
              </w:rPr>
              <w:t xml:space="preserve">South Australia:</w:t>
            </w:r>
            <w:r>
              <w:rPr>
                <w:rStyle w:val="row-content-rich-text"/>
                <w:i/>
              </w:rPr>
              <w:t xml:space="preserve"> Health Care Associated Bloodstream infection report</w:t>
            </w:r>
          </w:p>
          <w:p>
            <w:hyperlink w:history="true" r:id="Rd84e564fae414961">
              <w:r>
                <w:rPr>
                  <w:rStyle w:val="Hyperlink"/>
                </w:rPr>
                <w:t xml:space="preserve">http://www.health.sa.gov.au/INFECTIONCONTROL/Default.aspx?PageContentID=18&amp;tabid=147</w:t>
              </w:r>
            </w:hyperlink>
            <w:r>
              <w:rPr>
                <w:rStyle w:val="row-content-rich-text"/>
              </w:rPr>
              <w:t xml:space="preserve">  </w:t>
            </w:r>
          </w:p>
          <w:p>
            <w:pPr>
              <w:spacing w:after="160"/>
            </w:pPr>
            <w:r>
              <w:rPr>
                <w:rStyle w:val="row-content-rich-text"/>
              </w:rPr>
              <w:t xml:space="preserve">Victoria: </w:t>
            </w:r>
            <w:r>
              <w:rPr>
                <w:rStyle w:val="row-content-rich-text"/>
                <w:i/>
              </w:rPr>
              <w:t xml:space="preserve">VICNISS hospital-acquired infection surveillance annual report</w:t>
            </w:r>
          </w:p>
          <w:p>
            <w:hyperlink w:history="true" r:id="R913fdeaecbe6412e">
              <w:r>
                <w:rPr>
                  <w:rStyle w:val="Hyperlink"/>
                </w:rPr>
                <w:t xml:space="preserve">http://docs.health.vic.gov.au/docs/doc/3DED99B14180EA3CCA25787600167809/$FILE/1101018_VICNISS%20AR2010_Web_FA.pdf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While the indicator is intended to describe SAB rates in ‘acute’ care public hospitals,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The data presented have not been adjusted for any differences in case-mix between the states and territories.</w:t>
            </w:r>
          </w:p>
          <w:p>
            <w:pPr/>
            <w:r>
              <w:rPr>
                <w:rStyle w:val="row-content-rich-text"/>
              </w:rPr>
              <w:t xml:space="preserve">Analysis by State and Territory is based on the location of the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per cent coverage of public hospitals. For those jurisdictions with incomplete coverage of public hospitals (in the numerator), only patient days for those hospitals (or parts of hospitals) that were covered by the SAB surveillance arrangements are included (in the denominator). Differences in the types of hospitals not included may impact on the accuracy and comparability of rates.</w:t>
            </w:r>
          </w:p>
          <w:p>
            <w:pPr>
              <w:spacing w:after="160"/>
            </w:pPr>
            <w:r>
              <w:rPr>
                <w:rStyle w:val="row-content-rich-text"/>
              </w:rPr>
              <w:t xml:space="preserve">Rates should be interpreted in conjunction with information about SAB surveillance coverage.</w:t>
            </w:r>
          </w:p>
          <w:p>
            <w:pPr>
              <w:spacing w:after="160"/>
            </w:pPr>
            <w:r>
              <w:rPr>
                <w:rStyle w:val="row-content-rich-text"/>
              </w:rPr>
              <w:t xml:space="preserve">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all states and territories used the definition of SAB patient episodes associated with acute care public hospitals as defined above.</w:t>
            </w:r>
          </w:p>
          <w:p>
            <w:pPr/>
            <w:r>
              <w:rPr>
                <w:rStyle w:val="row-content-rich-text"/>
              </w:rPr>
              <w:t xml:space="preserve">The patient day data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w:t>
            </w:r>
            <w:r>
              <w:rPr>
                <w:rStyle w:val="row-content-rich-text"/>
                <w:i/>
              </w:rPr>
              <w:t xml:space="preserve">2010 COAG Reform Council report</w:t>
            </w:r>
            <w:r>
              <w:rPr>
                <w:rStyle w:val="row-content-rich-text"/>
              </w:rPr>
              <w:t xml:space="preserve">. Since that report further work has been undertaken on data development for this indicator, including the definition of an episode of SAB and a suitable denominator, as well as the coverage of public hospitals. As 2008‑09 data were provided prior to the development of agreed national definitions, by only five jurisdictions, and was limited to principal referral and large hospitals, these data are not comparable with those reported subsequently. Tasmania has advised that their SAB data are comparable across the three reporting years (2008‑09, 2009‑10, 2010‑11).</w:t>
            </w:r>
          </w:p>
          <w:p>
            <w:pPr>
              <w:spacing w:after="160"/>
            </w:pPr>
            <w:r>
              <w:rPr>
                <w:rStyle w:val="row-content-rich-text"/>
              </w:rPr>
              <w:t xml:space="preserve">For the data presented in the </w:t>
            </w:r>
            <w:r>
              <w:rPr>
                <w:rStyle w:val="row-content-rich-text"/>
                <w:i/>
              </w:rPr>
              <w:t xml:space="preserve">2011 COAG Reform Council report</w:t>
            </w:r>
            <w:r>
              <w:rPr>
                <w:rStyle w:val="row-content-rich-text"/>
              </w:rPr>
              <w:t xml:space="preserve">, New South Wales used a definition of SAB that differed from the national definition. The definition of SAB used by New South Wales for the 2012 report conforms to the national definition. Thus 2009‑10 and 2010‑11 data for New South Wales are not comparable.</w:t>
            </w:r>
          </w:p>
          <w:p>
            <w:pPr>
              <w:spacing w:after="160"/>
            </w:pPr>
            <w:r>
              <w:rPr>
                <w:rStyle w:val="row-content-rich-text"/>
              </w:rPr>
              <w:t xml:space="preserve">The Northern Territory data for 2009‑10 is not comparable with the Northern Territory data for 2010‑11 data as the collection method and verification process has changed.</w:t>
            </w:r>
          </w:p>
          <w:p>
            <w:pPr/>
            <w:r>
              <w:rPr>
                <w:rStyle w:val="row-content-rich-text"/>
              </w:rPr>
              <w:t xml:space="preserve">Some jurisdictions have previously published related data (see Accessibility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c74cb9fb504e86">
              <w:r>
                <w:rPr>
                  <w:rStyle w:val="Hyperlink"/>
                </w:rPr>
                <w:t xml:space="preserve">National Healthcare Agreement: PI 39: Healthcare-associated Staphylococcus aureus (including MRSA) bacteraemia in acute care hospitals, 2011 QS</w:t>
              </w:r>
            </w:hyperlink>
          </w:p>
          <w:p>
            <w:pPr>
              <w:spacing w:before="0" w:after="0"/>
            </w:pPr>
            <w:r>
              <w:rPr>
                <w:rStyle w:val="row-content"/>
                <w:color w:val="244061"/>
              </w:rPr>
              <w:t xml:space="preserve">       </w:t>
            </w:r>
            <w:hyperlink w:history="true" r:id="R50647d567ca64fd7">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8ab2fe8f887f40a9">
              <w:r>
                <w:rPr>
                  <w:rStyle w:val="Hyperlink"/>
                </w:rPr>
                <w:t xml:space="preserve">National Healthcare Agreement: PI 22-Healthcare associated infections, 2013 QS</w:t>
              </w:r>
            </w:hyperlink>
          </w:p>
          <w:p>
            <w:pPr>
              <w:spacing w:before="0" w:after="0"/>
            </w:pPr>
            <w:r>
              <w:rPr>
                <w:rStyle w:val="row-content"/>
                <w:color w:val="244061"/>
              </w:rPr>
              <w:t xml:space="preserve">       </w:t>
            </w:r>
            <w:hyperlink w:history="true" r:id="Re20f6d366f0b4af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b013a16e314eb2">
              <w:r>
                <w:rPr>
                  <w:rStyle w:val="Hyperlink"/>
                </w:rPr>
                <w:t xml:space="preserve">National Healthcare Agreement: PI 39-Healthcare-associated Staphylococcus aureus (including MRSA) bacteraemia in acute care hospitals, 2012</w:t>
              </w:r>
            </w:hyperlink>
          </w:p>
          <w:p>
            <w:pPr>
              <w:spacing w:before="0" w:after="0"/>
            </w:pPr>
            <w:r>
              <w:rPr>
                <w:rStyle w:val="row-content"/>
                <w:color w:val="244061"/>
              </w:rPr>
              <w:t xml:space="preserve">       </w:t>
            </w:r>
            <w:hyperlink w:history="true" r:id="R54eadc67f7274e5b">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161a2ecdb4c74f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500205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82160877a2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1a2ecdb4c74f29" /><Relationship Type="http://schemas.openxmlformats.org/officeDocument/2006/relationships/header" Target="/word/header1.xml" Id="Rd6caa9d947434e23" /><Relationship Type="http://schemas.openxmlformats.org/officeDocument/2006/relationships/settings" Target="/word/settings.xml" Id="Rf5095ea12e2340bd" /><Relationship Type="http://schemas.openxmlformats.org/officeDocument/2006/relationships/styles" Target="/word/styles.xml" Id="R490d3841fe8a4526" /><Relationship Type="http://schemas.openxmlformats.org/officeDocument/2006/relationships/hyperlink" Target="https://meteor.aihw.gov.au/RegistrationAuthority/12" TargetMode="External" Id="R60f9c39a521b4fd7" /><Relationship Type="http://schemas.openxmlformats.org/officeDocument/2006/relationships/numbering" Target="/word/numbering.xml" Id="R8abf5907cf264c20" /><Relationship Type="http://schemas.openxmlformats.org/officeDocument/2006/relationships/hyperlink" Target="http://www.health.nsw.gov.au/hospitals/search.asp" TargetMode="External" Id="R69db0b4e5c924a66" /><Relationship Type="http://schemas.openxmlformats.org/officeDocument/2006/relationships/hyperlink" Target="http://www.health.nsw.gov.au/quality/hai/index.asp" TargetMode="External" Id="R73bd3273cc5d4a3b" /><Relationship Type="http://schemas.openxmlformats.org/officeDocument/2006/relationships/hyperlink" Target="http://www.dhhs.tas.gov.au/peh/tasmanian_infection_prevention_and_control_unit/publications_and_guidelines" TargetMode="External" Id="R700f52b3560c45e1" /><Relationship Type="http://schemas.openxmlformats.org/officeDocument/2006/relationships/hyperlink" Target="http://www.public.health.wa.gov.au/3/455/3/reports__healthcare_associated_infection_unit.pm" TargetMode="External" Id="R3e00f7be7df44b47" /><Relationship Type="http://schemas.openxmlformats.org/officeDocument/2006/relationships/hyperlink" Target="http://www.health.sa.gov.au/INFECTIONCONTROL/Default.aspx?PageContentID=18&amp;amp;tabid=147" TargetMode="External" Id="Rd84e564fae414961" /><Relationship Type="http://schemas.openxmlformats.org/officeDocument/2006/relationships/hyperlink" Target="http://docs.health.vic.gov.au/docs/doc/3DED99B14180EA3CCA25787600167809/$FILE/1101018_VICNISS%20AR2010_Web_FA.pdf" TargetMode="External" Id="R913fdeaecbe6412e" /><Relationship Type="http://schemas.openxmlformats.org/officeDocument/2006/relationships/hyperlink" Target="https://meteor.aihw.gov.au/content/448298" TargetMode="External" Id="Rc6c74cb9fb504e86" /><Relationship Type="http://schemas.openxmlformats.org/officeDocument/2006/relationships/hyperlink" Target="https://meteor.aihw.gov.au/RegistrationAuthority/12" TargetMode="External" Id="R50647d567ca64fd7" /><Relationship Type="http://schemas.openxmlformats.org/officeDocument/2006/relationships/hyperlink" Target="https://meteor.aihw.gov.au/content/507447" TargetMode="External" Id="R8ab2fe8f887f40a9" /><Relationship Type="http://schemas.openxmlformats.org/officeDocument/2006/relationships/hyperlink" Target="https://meteor.aihw.gov.au/RegistrationAuthority/12" TargetMode="External" Id="Re20f6d366f0b4afe" /><Relationship Type="http://schemas.openxmlformats.org/officeDocument/2006/relationships/hyperlink" Target="https://meteor.aihw.gov.au/content/443699" TargetMode="External" Id="Reeb013a16e314eb2" /><Relationship Type="http://schemas.openxmlformats.org/officeDocument/2006/relationships/hyperlink" Target="https://meteor.aihw.gov.au/RegistrationAuthority/12" TargetMode="External" Id="R54eadc67f7274e5b" /></Relationships>
</file>

<file path=word/_rels/header1.xml.rels>&#65279;<?xml version="1.0" encoding="utf-8"?><Relationships xmlns="http://schemas.openxmlformats.org/package/2006/relationships"><Relationship Type="http://schemas.openxmlformats.org/officeDocument/2006/relationships/image" Target="/media/image.png" Id="R1d82160877a24819" /></Relationships>
</file>