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31e6ec1abb4f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43-Unplanned/unexpected readmissions within 28 days of selected surgical admissions,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43-Unplanned/unexpected readmissions within 28 days of selected surgical admissions,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bcd115f644d8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 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is an underestimate of all possible unplanned/unexpected readmissions because:</w:t>
            </w:r>
            <w:r>
              <w:br/>
            </w:r>
            <w:r>
              <w:rPr>
                <w:rStyle w:val="row-content-rich-text"/>
              </w:rPr>
              <w:t xml:space="preserve">        • it could only be calculated for public hospitals and for readmissions to the same hospital.</w:t>
            </w:r>
            <w:r>
              <w:br/>
            </w:r>
            <w:r>
              <w:rPr>
                <w:rStyle w:val="row-content-rich-text"/>
              </w:rPr>
              <w:t xml:space="preserve">        • episodes of non-admitted patient care provided in outpatient clinics or emergency departments which may have been related to a previous admission are not included.</w:t>
            </w:r>
            <w:r>
              <w:br/>
            </w:r>
            <w:r>
              <w:rPr>
                <w:rStyle w:val="row-content-rich-text"/>
              </w:rPr>
              <w:t xml:space="preserve">        • the unplanned and/or unexpected readmissions are limited to those having a principal diagnosis of a post-operative adverse event for which a specified International Statistical Classification of Diseases and Related Health Problems, Tenth Revision, Australian Modification (ICD-10-AM) diagnosis code has been assigned. This does not include all possible unplanned/unexpected readmissions. </w:t>
            </w:r>
          </w:p>
          <w:p>
            <w:pPr>
              <w:pStyle w:val="ListParagraph"/>
              <w:numPr>
                <w:ilvl w:val="0"/>
                <w:numId w:val="2"/>
              </w:numPr>
            </w:pPr>
            <w:r>
              <w:rPr>
                <w:rStyle w:val="row-content-rich-text"/>
              </w:rPr>
              <w:t xml:space="preserve">Calculation of the indicator for Western Australia was not possible using data from the NHMD. Data for Western Australia were supplied by WA Health and Australian rates and numbers do not include Western Australia.</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w:t>
            </w:r>
          </w:p>
          <w:p>
            <w:pPr>
              <w:spacing w:after="160"/>
            </w:pPr>
            <w:r>
              <w:rPr>
                <w:rStyle w:val="row-content-rich-text"/>
              </w:rPr>
              <w:t xml:space="preserve">The AIHW is an independent statutory authority within the Health and Ageing portfolio, which is accountable to the Parliament of Australia through the Minister for Health and Ageing. For further information see the AIHW website.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 below).</w:t>
            </w:r>
          </w:p>
          <w:p>
            <w:hyperlink w:history="true" r:id="R226bd2e542cb4bd6">
              <w:r>
                <w:rPr>
                  <w:rStyle w:val="Hyperlink"/>
                </w:rPr>
                <w:t xml:space="preserve">www.aihw.gov.au/WorkArea/DownloadAsset.aspx?id=6442472807&amp;libID=6442472788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p>
            <w:pPr/>
            <w:r>
              <w:rPr>
                <w:rStyle w:val="row-content-rich-text"/>
              </w:rPr>
              <w:t xml:space="preserve">Some data are also included on the MyHospitals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NHMD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note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is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NMDS for Admitted patient care is to collect information about care provided to admitted patients in Australian hospitals. The scope of the NMDS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 Hospitals specialising in ophthalmic aids and other specialised acute medical or surgical care are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The analyses by remoteness and socioeconomic status are based on the Statistical Local Area (SLA) of usual residence of the patient. The Socio-Economic Indexes for Areas (SEIFA) categories for socioeconomic status represent approximately the same proportion of the national population, but do not necessarily represent that proportion of the population in each state or territory (each SEIFA decile or quintile represents 10 per cent and 20 per cent respectively of the national population). The SEIFA scores for each SLA are derived from 2006 Census data and represent the attributes of the population in that SLA in 2006. To allocate a 2006 SEIFA score to 2009 SLAs (used for 2009–10 data), 2009 SLA boundaries are mapped backed to 2006 SLA boundaries. It is possible that the demographic profile of some areas may have changed between 2006 and 2009 due to changes in the socioeconomic status of the existing population, or changes to population size, thus potentially diminishing the accuracy of that area’s SEIFA score over time. This is likely to impact most those quintiles in jurisdictions with a greater number of areas experiencing substantial population movement or renewal.</w:t>
            </w:r>
          </w:p>
          <w:p>
            <w:pPr>
              <w:spacing w:after="160"/>
            </w:pPr>
            <w:r>
              <w:rPr>
                <w:rStyle w:val="row-content-rich-text"/>
              </w:rPr>
              <w:t xml:space="preserve">Separations are reported by jurisdiction of hospitalisation, regardless of the jurisdiction of usual residence. Hence, rates represent the number of separations for patients living in each remoteness area or SEIFA population group (regardless of their jurisdiction of residence) divided by the total number of separations for people living in that remoteness area  or SEIFA population group and hospitalised in the reporting jurisdiction. This is relevant if significant numbers of one jurisdiction’s residents are treated in another jurisdiction.</w:t>
            </w:r>
          </w:p>
          <w:p>
            <w:pPr>
              <w:spacing w:after="160"/>
            </w:pPr>
            <w:r>
              <w:rPr>
                <w:rStyle w:val="row-content-rich-text"/>
              </w:rPr>
              <w:t xml:space="preserve">The unplanned and/or unexpected readmissions counted in the computation for this indicator have been limited to those having a principal diagnosis of a post-operative adverse event for which a specified ICD‑10‑AM diagnosis code has been assigned. Unplanned and/or unexpected readmissions attributable to other causes have not been included.</w:t>
            </w:r>
          </w:p>
          <w:p>
            <w:pPr>
              <w:spacing w:after="160"/>
            </w:pPr>
            <w:r>
              <w:rPr>
                <w:rStyle w:val="row-content-rich-text"/>
              </w:rPr>
              <w:t xml:space="preserve">In regards to hysterectomy, there are three procedures that are in scope of the indicator, but currently not included in any NHA reporting (all years). These are (in ICD-10 6th edition), 35750-00—</w:t>
            </w:r>
            <w:r>
              <w:rPr>
                <w:rStyle w:val="row-content-rich-text"/>
                <w:i/>
              </w:rPr>
              <w:t xml:space="preserve">Laparoscopically assisted vaginal hysterectomy</w:t>
            </w:r>
            <w:r>
              <w:rPr>
                <w:rStyle w:val="row-content-rich-text"/>
              </w:rPr>
              <w:t xml:space="preserve">; 35753-02—</w:t>
            </w:r>
            <w:r>
              <w:rPr>
                <w:rStyle w:val="row-content-rich-text"/>
                <w:i/>
              </w:rPr>
              <w:t xml:space="preserve">Laparascopically assisted vaginal hysterectomy with removal of adnexa</w:t>
            </w:r>
            <w:r>
              <w:rPr>
                <w:rStyle w:val="row-content-rich-text"/>
              </w:rPr>
              <w:t xml:space="preserve">; 35653-00—</w:t>
            </w:r>
            <w:r>
              <w:rPr>
                <w:rStyle w:val="row-content-rich-text"/>
                <w:i/>
              </w:rPr>
              <w:t xml:space="preserve">Subtotal abdominal hysterectomy</w:t>
            </w:r>
            <w:r>
              <w:rPr>
                <w:rStyle w:val="row-content-rich-text"/>
              </w:rPr>
              <w:t xml:space="preserve">. In 2009–10, 4,460 separations involved one of these procedures, representing approximately 40 per cent of all separations involving hysterectomy and in scope for this indicator.</w:t>
            </w:r>
          </w:p>
          <w:p>
            <w:pPr>
              <w:spacing w:after="160"/>
            </w:pPr>
            <w:r>
              <w:rPr>
                <w:rStyle w:val="row-content-rich-text"/>
              </w:rPr>
              <w:t xml:space="preserve">The calculation of the indicator is limited to public hospitals and to readmissions to the same hospital.</w:t>
            </w:r>
          </w:p>
          <w:p>
            <w:pPr/>
            <w:r>
              <w:rPr>
                <w:rStyle w:val="row-content-rich-text"/>
              </w:rPr>
              <w:t xml:space="preserve">Other Australians includes separations for non‑Indigenous people and those for whom Indigenous status was not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2009–10, almost all public hospitals provided data for the NHMD. The exception was a mothercraft hospital in the Australian Capital Territory and about 2400 separations for one public hospital in Western Australia.</w:t>
            </w:r>
          </w:p>
          <w:p>
            <w:pPr>
              <w:spacing w:after="160"/>
            </w:pPr>
            <w:r>
              <w:rPr>
                <w:rStyle w:val="row-content-rich-text"/>
              </w:rPr>
              <w:t xml:space="preserve">The majority of private hospitals provided data, with the exception of the private day hospital facilities in the Australian Capital Territory and the Northern Territory. Western Australia was not able to provide about 10 600 separations for one private hospital.</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against data from other data sets. Potential errors are queried with jurisdictions, and corrections and resubmissions may be made in response to these edit queries. The AIHW does not adjust data to account for possible data errors or missing or incorrect values.</w:t>
            </w:r>
          </w:p>
          <w:p>
            <w:pPr>
              <w:spacing w:after="160"/>
            </w:pPr>
            <w:r>
              <w:rPr>
                <w:rStyle w:val="row-content-rich-text"/>
              </w:rPr>
              <w:t xml:space="preserve">The Indigenous status data are of sufficient quality for statistical reporting for the following jurisdictions: New South Wales, Victoria, Queensland, South Australia and Western Australia (public and private hospitals) and Northern Territory (public hospitals only). National totals include these six jurisdictions only. Indigenous status data reported for Tasmania and Australian Capital Territory (public and private hospitals) should be interpreted with caution until further assessment of Indigenous identification is completed.</w:t>
            </w:r>
          </w:p>
          <w:p>
            <w:pPr>
              <w:spacing w:after="160"/>
            </w:pPr>
            <w:r>
              <w:rPr>
                <w:rStyle w:val="row-content-rich-text"/>
              </w:rPr>
              <w:t xml:space="preserve">For this indicator, the linkage of separations records is based on the patient identifiers which are reported for public hospitals. As a consequence, only readmissions to the same public hospital are in scope; and readmissions to different public hospitals and readmissions involving private hospitals are not included.</w:t>
            </w:r>
          </w:p>
          <w:p>
            <w:pPr>
              <w:spacing w:after="160"/>
            </w:pPr>
            <w:r>
              <w:rPr>
                <w:rStyle w:val="row-content-rich-text"/>
              </w:rPr>
              <w:t xml:space="preserve">For Western Australia the indicator was calculated and supplied by WA Health.</w:t>
            </w:r>
          </w:p>
          <w:p>
            <w:pPr>
              <w:spacing w:after="160"/>
            </w:pPr>
            <w:r>
              <w:rPr>
                <w:rStyle w:val="row-content-rich-text"/>
              </w:rPr>
              <w:t xml:space="preserve">To calculate this indicator, the readmissions needed to be reported in the 2009–10 financial year. This led to the specification of 19 May as the cut‑off date for the initial separations. This cut-off date ensures that about 98 per cent of all eligible readmissions will be reported in 2009–10.</w:t>
            </w:r>
          </w:p>
          <w:p>
            <w:pPr>
              <w:spacing w:after="160"/>
            </w:pPr>
            <w:r>
              <w:rPr>
                <w:rStyle w:val="row-content-rich-text"/>
              </w:rPr>
              <w:t xml:space="preserve">Data on procedures are recorded uniformly using the Australian Classification of Health Interventions. Data on diagnoses are recorded uniformly using the ICD‑10‑AM.</w:t>
            </w:r>
          </w:p>
          <w:p>
            <w:pPr>
              <w:spacing w:after="160"/>
            </w:pPr>
            <w:r>
              <w:rPr>
                <w:rStyle w:val="row-content-rich-text"/>
              </w:rPr>
              <w:t xml:space="preserve">Cells have been suppressed to protect confidentiality where the presentation could identify a patient or a service provider or where rates are likely to be highly volatile, for example where the denominator is very small. The following rules were applied:</w:t>
            </w:r>
          </w:p>
          <w:p>
            <w:pPr>
              <w:pStyle w:val="ListParagraph"/>
              <w:numPr>
                <w:ilvl w:val="0"/>
                <w:numId w:val="4"/>
              </w:numPr>
            </w:pPr>
            <w:r>
              <w:rPr>
                <w:rStyle w:val="row-content-rich-text"/>
              </w:rPr>
              <w:t xml:space="preserve">Rates were suppressed where the numerator was less than 5 and/or the denominator was less than 200.</w:t>
            </w:r>
          </w:p>
          <w:p>
            <w:pPr>
              <w:pStyle w:val="ListParagraph"/>
              <w:numPr>
                <w:ilvl w:val="0"/>
                <w:numId w:val="4"/>
              </w:numPr>
            </w:pPr>
            <w:r>
              <w:rPr>
                <w:rStyle w:val="row-content-rich-text"/>
              </w:rPr>
              <w:t xml:space="preserve">Rates were suppressed where the numerator was zero and the denominator was less than 200.</w:t>
            </w:r>
          </w:p>
          <w:p>
            <w:pPr>
              <w:pStyle w:val="ListParagraph"/>
              <w:numPr>
                <w:ilvl w:val="0"/>
                <w:numId w:val="4"/>
              </w:numPr>
            </w:pPr>
            <w:r>
              <w:rPr>
                <w:rStyle w:val="row-content-rich-text"/>
              </w:rPr>
              <w:t xml:space="preserve">Counts were suppressed when the number was less than 3.</w:t>
            </w:r>
          </w:p>
          <w:p>
            <w:pPr>
              <w:pStyle w:val="ListParagraph"/>
              <w:numPr>
                <w:ilvl w:val="0"/>
                <w:numId w:val="4"/>
              </w:numPr>
            </w:pPr>
            <w:r>
              <w:rPr>
                <w:rStyle w:val="row-content-rich-text"/>
              </w:rPr>
              <w:t xml:space="preserve">Data for private hospitals in Tasmania, Australian Capital Territory and the Northern Territory were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2009–10</w:t>
            </w:r>
            <w:r>
              <w:rPr>
                <w:rStyle w:val="row-content-rich-text"/>
              </w:rPr>
              <w:t xml:space="preserve"> and the </w:t>
            </w:r>
            <w:r>
              <w:rPr>
                <w:rStyle w:val="row-content-rich-text"/>
                <w:i/>
              </w:rPr>
              <w:t xml:space="preserve">National healthcare agreement: performance report 2009–10</w:t>
            </w:r>
            <w:r>
              <w:rPr>
                <w:rStyle w:val="row-content-rich-text"/>
              </w:rPr>
              <w:t xml:space="preserve">.</w:t>
            </w:r>
          </w:p>
          <w:p>
            <w:pPr>
              <w:spacing w:after="160"/>
            </w:pPr>
            <w:r>
              <w:rPr>
                <w:rStyle w:val="row-content-rich-text"/>
              </w:rPr>
              <w:t xml:space="preserve">The data can be meaningfully compared across reference periods for all jurisdictions.</w:t>
            </w:r>
          </w:p>
          <w:p>
            <w:pPr/>
            <w:r>
              <w:rPr>
                <w:rStyle w:val="row-content-rich-text"/>
              </w:rPr>
              <w:t xml:space="preserve">However, caution is required when analysing SEIFA over time for the reasons outlined above (see Relevance section). Methodological variations also exist in the application of SEIFA to various data sets and performance indicators. Any comparisons of the SEIFA analysis for this indicator with other related SEIFA analysis should be undertaken with careful consideration of the methods used, in particular the SEIFA index used and the approach taken to derive quintiles and deciles.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6f07526f574981">
              <w:r>
                <w:rPr>
                  <w:rStyle w:val="Hyperlink"/>
                </w:rPr>
                <w:t xml:space="preserve">National Healthcare Agreement: PI 43: Unplanned/unexpected readmissions within 28 days of selected surgical admissions, 2011 QS</w:t>
              </w:r>
            </w:hyperlink>
          </w:p>
          <w:p>
            <w:pPr>
              <w:spacing w:before="0" w:after="0"/>
            </w:pPr>
            <w:r>
              <w:rPr>
                <w:rStyle w:val="row-content"/>
                <w:color w:val="244061"/>
              </w:rPr>
              <w:t xml:space="preserve">       </w:t>
            </w:r>
            <w:hyperlink w:history="true" r:id="R82b35ee4420b493b">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65ac59e9e78e45d0">
              <w:r>
                <w:rPr>
                  <w:rStyle w:val="Hyperlink"/>
                </w:rPr>
                <w:t xml:space="preserve">National Healthcare Agreement: PI 23-Unplanned hospital readmission rates, 2013 QS</w:t>
              </w:r>
            </w:hyperlink>
          </w:p>
          <w:p>
            <w:pPr>
              <w:spacing w:before="0" w:after="0"/>
            </w:pPr>
            <w:r>
              <w:rPr>
                <w:rStyle w:val="row-content"/>
                <w:color w:val="244061"/>
              </w:rPr>
              <w:t xml:space="preserve">       </w:t>
            </w:r>
            <w:hyperlink w:history="true" r:id="R428e133e8d3041d0">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9eba2483230449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3aab1c308eae468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6fe63cc7dd1243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7f837dff8c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e63cc7dd12434d" /><Relationship Type="http://schemas.openxmlformats.org/officeDocument/2006/relationships/header" Target="/word/header1.xml" Id="R270b0da735dd4889" /><Relationship Type="http://schemas.openxmlformats.org/officeDocument/2006/relationships/settings" Target="/word/settings.xml" Id="R0c3f8e61d7734da3" /><Relationship Type="http://schemas.openxmlformats.org/officeDocument/2006/relationships/styles" Target="/word/styles.xml" Id="R340a30dac42c40f8" /><Relationship Type="http://schemas.openxmlformats.org/officeDocument/2006/relationships/hyperlink" Target="https://meteor.aihw.gov.au/RegistrationAuthority/12" TargetMode="External" Id="R7dfbcd115f644d84" /><Relationship Type="http://schemas.openxmlformats.org/officeDocument/2006/relationships/numbering" Target="/word/numbering.xml" Id="R93e58239e84d4439" /><Relationship Type="http://schemas.openxmlformats.org/officeDocument/2006/relationships/hyperlink" Target="http://www.aihw.gov.au/WorkArea/DownloadAsset.aspx?id=6442472807&amp;amp;libID=6442472788" TargetMode="External" Id="R226bd2e542cb4bd6" /><Relationship Type="http://schemas.openxmlformats.org/officeDocument/2006/relationships/hyperlink" Target="https://meteor.aihw.gov.au/content/448304" TargetMode="External" Id="Ra06f07526f574981" /><Relationship Type="http://schemas.openxmlformats.org/officeDocument/2006/relationships/hyperlink" Target="https://meteor.aihw.gov.au/RegistrationAuthority/12" TargetMode="External" Id="R82b35ee4420b493b" /><Relationship Type="http://schemas.openxmlformats.org/officeDocument/2006/relationships/hyperlink" Target="https://meteor.aihw.gov.au/content/507456" TargetMode="External" Id="R65ac59e9e78e45d0" /><Relationship Type="http://schemas.openxmlformats.org/officeDocument/2006/relationships/hyperlink" Target="https://meteor.aihw.gov.au/RegistrationAuthority/12" TargetMode="External" Id="R428e133e8d3041d0" /><Relationship Type="http://schemas.openxmlformats.org/officeDocument/2006/relationships/hyperlink" Target="https://meteor.aihw.gov.au/content/443711" TargetMode="External" Id="Re9eba24832304495" /><Relationship Type="http://schemas.openxmlformats.org/officeDocument/2006/relationships/hyperlink" Target="https://meteor.aihw.gov.au/RegistrationAuthority/12" TargetMode="External" Id="R3aab1c308eae4687" /></Relationships>
</file>

<file path=word/_rels/header1.xml.rels>&#65279;<?xml version="1.0" encoding="utf-8"?><Relationships xmlns="http://schemas.openxmlformats.org/package/2006/relationships"><Relationship Type="http://schemas.openxmlformats.org/officeDocument/2006/relationships/image" Target="/media/image.png" Id="Rd37f837dff8c40dd" /></Relationships>
</file>