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92a04e031648e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48-Rates of services: hospital procedures,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48-Rates of services: hospital procedures,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dffd761f34bf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5034c6c0325e4f16">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Analyses by remoteness and socioeconomic status are based on the reported area of Statistical Local Area (SLA)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w:t>
            </w:r>
          </w:p>
          <w:p>
            <w:pPr>
              <w:spacing w:after="160"/>
            </w:pPr>
            <w:r>
              <w:rPr>
                <w:rStyle w:val="row-content-rich-text"/>
              </w:rPr>
              <w:t xml:space="preserve">Other Australians includes separations for non‑Indigenous people and those for whom Indigenous status was not stated.</w:t>
            </w:r>
          </w:p>
          <w:p>
            <w:pPr/>
            <w:r>
              <w:rPr>
                <w:rStyle w:val="row-content-rich-text"/>
              </w:rPr>
              <w:t xml:space="preserve">Indigenous and Other Australians’ rates of hysterectomy in Tasmania and the Australian Capital Territory may underestimate rates of hysterectomy for women aged 15–69 years due to the age-standardisation method used (see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single private free-standing day hospital facility in the Northern Territory. In addition, Western Australia was not able to provide about 10,600 separations for one private hospital.</w:t>
            </w:r>
          </w:p>
          <w:p>
            <w:pPr>
              <w:spacing w:after="160"/>
            </w:pPr>
            <w:r>
              <w:rPr>
                <w:rStyle w:val="row-content-rich-text"/>
              </w:rPr>
              <w:t xml:space="preserve">Coronary artery bypass graft and coronary angioplasty are not performed in Northern Territory hospitals. Residents of the Northern Territory requiring these procedures receive treatment interstate.</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for the following jurisdictions: New South Wales, Victoria, Queensland, South Australia, Western Australia, Northern Territory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p>
            <w:pPr/>
            <w:r>
              <w:rPr>
                <w:rStyle w:val="row-content-rich-text"/>
              </w:rPr>
              <w:t xml:space="preserve">Rates which appear misleading (for example, because of cross border flows) were also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performance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2716708f614178">
              <w:r>
                <w:rPr>
                  <w:rStyle w:val="Hyperlink"/>
                </w:rPr>
                <w:t xml:space="preserve">National Healthcare Agreement: PI 48: Rates of services: hospital procedures, 2011 QS</w:t>
              </w:r>
            </w:hyperlink>
          </w:p>
          <w:p>
            <w:pPr>
              <w:spacing w:before="0" w:after="0"/>
            </w:pPr>
            <w:r>
              <w:rPr>
                <w:rStyle w:val="row-content"/>
                <w:color w:val="244061"/>
              </w:rPr>
              <w:t xml:space="preserve">       </w:t>
            </w:r>
            <w:hyperlink w:history="true" r:id="R643231975f49421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8422bb7125448f3">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9566fa45b2ac4d3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8fdacac3123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7e880b02e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dacac31234796" /><Relationship Type="http://schemas.openxmlformats.org/officeDocument/2006/relationships/header" Target="/word/header1.xml" Id="R92c56105e40b4db4" /><Relationship Type="http://schemas.openxmlformats.org/officeDocument/2006/relationships/settings" Target="/word/settings.xml" Id="R48525d36ff9f4464" /><Relationship Type="http://schemas.openxmlformats.org/officeDocument/2006/relationships/styles" Target="/word/styles.xml" Id="Rc48173ca7d084a9c" /><Relationship Type="http://schemas.openxmlformats.org/officeDocument/2006/relationships/hyperlink" Target="https://meteor.aihw.gov.au/RegistrationAuthority/12" TargetMode="External" Id="Rab0dffd761f34bfd" /><Relationship Type="http://schemas.openxmlformats.org/officeDocument/2006/relationships/numbering" Target="/word/numbering.xml" Id="Ra485fc54b38e416f" /><Relationship Type="http://schemas.openxmlformats.org/officeDocument/2006/relationships/hyperlink" Target="http://www.aihw.gov.au/WorkArea/DownloadAsset.aspx?id=6442472807&amp;amp;libID=6442472788" TargetMode="External" Id="R5034c6c0325e4f16" /><Relationship Type="http://schemas.openxmlformats.org/officeDocument/2006/relationships/hyperlink" Target="https://meteor.aihw.gov.au/content/448574" TargetMode="External" Id="Rc12716708f614178" /><Relationship Type="http://schemas.openxmlformats.org/officeDocument/2006/relationships/hyperlink" Target="https://meteor.aihw.gov.au/RegistrationAuthority/12" TargetMode="External" Id="R643231975f494218" /><Relationship Type="http://schemas.openxmlformats.org/officeDocument/2006/relationships/hyperlink" Target="https://meteor.aihw.gov.au/content/444872" TargetMode="External" Id="Ra8422bb7125448f3" /><Relationship Type="http://schemas.openxmlformats.org/officeDocument/2006/relationships/hyperlink" Target="https://meteor.aihw.gov.au/RegistrationAuthority/12" TargetMode="External" Id="R9566fa45b2ac4d3e" /></Relationships>
</file>

<file path=word/_rels/header1.xml.rels>&#65279;<?xml version="1.0" encoding="utf-8"?><Relationships xmlns="http://schemas.openxmlformats.org/package/2006/relationships"><Relationship Type="http://schemas.openxmlformats.org/officeDocument/2006/relationships/image" Target="/media/image.png" Id="R7927e880b02e47d2" /></Relationships>
</file>