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c05f480531746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49-Residential and community aged care places per 1,000 population aged 70+ years, 2012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49-Residential and community aged care places per 1,000 population aged 70+ years,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500121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9bd35f1eb4739">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is from an administrative data collection designed for payment of subsidies to service providers and has accurate data on the number and location of funded aged care places. </w:t>
            </w:r>
          </w:p>
          <w:p>
            <w:pPr>
              <w:pStyle w:val="ListParagraph"/>
              <w:numPr>
                <w:ilvl w:val="0"/>
                <w:numId w:val="2"/>
              </w:numPr>
            </w:pPr>
            <w:r>
              <w:rPr>
                <w:rStyle w:val="row-content-rich-text"/>
              </w:rPr>
              <w:t xml:space="preserve">The presented measure excludes information about services delivered to older people under the Home and Community Care (HACC)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services submit data to Medicare Australia to claim subsidies from the Australian Government. This data is provided to the Department of Health and Ageing (DoHA) to administer services under the </w:t>
            </w:r>
            <w:r>
              <w:rPr>
                <w:rStyle w:val="row-content-rich-text"/>
                <w:i/>
              </w:rPr>
              <w:t xml:space="preserve">Aged Care Act 1997</w:t>
            </w:r>
            <w:r>
              <w:rPr>
                <w:rStyle w:val="row-content-rich-text"/>
              </w:rPr>
              <w:t xml:space="preserve"> and the Aged Care Principles and to administer places delivered under the Aboriginal and Torres Strait Islander Aged Care Strategy.</w:t>
            </w:r>
          </w:p>
          <w:p>
            <w:pPr/>
            <w:r>
              <w:rPr>
                <w:rStyle w:val="row-content-rich-text"/>
              </w:rPr>
              <w:t xml:space="preserve">The data quality statement was developed by the DoHA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i/>
              </w:rPr>
              <w:t xml:space="preserve">Numerator:</w:t>
            </w:r>
            <w:r>
              <w:rPr>
                <w:rStyle w:val="row-content-rich-text"/>
              </w:rPr>
              <w:t xml:space="preserve"> Based on a stocktake of aged care places which were operational at 30 June 2011. Data for the current reporting period is available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items are published in the Steering Committee for the Review of Government Service Provision's (SCRGSP's) Report on Government Services, the </w:t>
            </w:r>
            <w:r>
              <w:rPr>
                <w:rStyle w:val="row-content-rich-text"/>
                <w:i/>
              </w:rPr>
              <w:t xml:space="preserve">Reports on the Operation of the Aged Care Act 1997 </w:t>
            </w:r>
            <w:r>
              <w:rPr>
                <w:rStyle w:val="row-content-rich-text"/>
              </w:rPr>
              <w:t xml:space="preserve">prepared by the Department of Health and Ageing, and in the AIHW’s</w:t>
            </w:r>
            <w:r>
              <w:rPr>
                <w:rStyle w:val="row-content-rich-text"/>
                <w:i/>
              </w:rPr>
              <w:t xml:space="preserve"> Aged care statistics</w:t>
            </w:r>
            <w:r>
              <w:rPr>
                <w:rStyle w:val="row-content-rich-text"/>
              </w:rPr>
              <w:t xml:space="preserve"> series.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information on definitions is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in the </w:t>
            </w:r>
            <w:r>
              <w:rPr>
                <w:rStyle w:val="row-content-rich-text"/>
                <w:i/>
              </w:rPr>
              <w:t xml:space="preserve">Residential Aged Care Manual 2009</w:t>
            </w:r>
            <w:r>
              <w:rPr>
                <w:rStyle w:val="row-content-rich-text"/>
              </w:rPr>
              <w:t xml:space="preserve">, draft </w:t>
            </w:r>
            <w:r>
              <w:rPr>
                <w:rStyle w:val="row-content-rich-text"/>
                <w:i/>
              </w:rPr>
              <w:t xml:space="preserve">Community Packaged Care Guidelines 2007</w:t>
            </w:r>
            <w:r>
              <w:rPr>
                <w:rStyle w:val="row-content-rich-text"/>
              </w:rPr>
              <w:t xml:space="preserve">, and </w:t>
            </w:r>
            <w:r>
              <w:rPr>
                <w:rStyle w:val="row-content-rich-text"/>
                <w:i/>
              </w:rPr>
              <w:t xml:space="preserve">Transition Care Program guidelines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Numerator:</w:t>
            </w:r>
            <w:r>
              <w:rPr>
                <w:rStyle w:val="row-content-rich-text"/>
              </w:rPr>
              <w:t xml:space="preserve"> The data includes all places offered by aged care services subsidised by the Australian Government under the programs identified above.</w:t>
            </w:r>
          </w:p>
          <w:p>
            <w:pPr/>
            <w:r>
              <w:rPr>
                <w:rStyle w:val="row-content-rich-text"/>
              </w:rPr>
              <w:t xml:space="preserve">This indicator does not include services funded through HACC. Further data development is required to develop an indicator of capacity (i.e. places) available under HACC. As an indication of the relative magnitude of the HACC program, in 2010‑11 HACC provided assistance to around 930,000 clients (642,000 clients 70 years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items used in this indicator are consistent and comparable over time. This indicator is consistent with other publicly available information about aged care places.</w:t>
            </w:r>
          </w:p>
          <w:p>
            <w:pPr/>
            <w:r>
              <w:rPr>
                <w:rStyle w:val="row-content-rich-text"/>
              </w:rPr>
              <w:t xml:space="preserve">Indigenous population projections have been calculated using a different method compared with that used in previous years. This will have a small effect on comparability with results from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3d29ea60474da8">
              <w:r>
                <w:rPr>
                  <w:rStyle w:val="Hyperlink"/>
                </w:rPr>
                <w:t xml:space="preserve">National Healthcare Agreement: PI 49: Residential and community aged care places per 1000 population aged 70+ years, 2011 QS</w:t>
              </w:r>
            </w:hyperlink>
          </w:p>
          <w:p>
            <w:pPr>
              <w:spacing w:before="0" w:after="0"/>
            </w:pPr>
            <w:r>
              <w:rPr>
                <w:rStyle w:val="row-content"/>
                <w:color w:val="244061"/>
              </w:rPr>
              <w:t xml:space="preserve">       </w:t>
            </w:r>
            <w:hyperlink w:history="true" r:id="R972d70714d134921">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20e65c0ef7a4475c">
              <w:r>
                <w:rPr>
                  <w:rStyle w:val="Hyperlink"/>
                </w:rPr>
                <w:t xml:space="preserve">National Healthcare Agreement: PI 26-Residential and community aged care places per 1000 population aged 70+ years, 2013 QS</w:t>
              </w:r>
            </w:hyperlink>
          </w:p>
          <w:p>
            <w:pPr>
              <w:spacing w:before="0" w:after="0"/>
            </w:pPr>
            <w:r>
              <w:rPr>
                <w:rStyle w:val="row-content"/>
                <w:color w:val="244061"/>
              </w:rPr>
              <w:t xml:space="preserve">       </w:t>
            </w:r>
            <w:hyperlink w:history="true" r:id="R2860ee30bfd44ffd">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4a61748bdfd453a">
              <w:r>
                <w:rPr>
                  <w:rStyle w:val="Hyperlink"/>
                </w:rPr>
                <w:t xml:space="preserve">National Healthcare Agreement: PI 49-Residential and community aged care services per 1,000 population aged 70+ years, 2012</w:t>
              </w:r>
            </w:hyperlink>
          </w:p>
          <w:p>
            <w:pPr>
              <w:spacing w:before="0" w:after="0"/>
            </w:pPr>
            <w:r>
              <w:rPr>
                <w:rStyle w:val="row-content"/>
                <w:color w:val="244061"/>
              </w:rPr>
              <w:t xml:space="preserve">       </w:t>
            </w:r>
            <w:hyperlink w:history="true" r:id="R3e1780e1b9a74158">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8ca3ba37bee842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500121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42fbad3f548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a3ba37bee84284" /><Relationship Type="http://schemas.openxmlformats.org/officeDocument/2006/relationships/header" Target="/word/header1.xml" Id="R118e381ea7f54ae9" /><Relationship Type="http://schemas.openxmlformats.org/officeDocument/2006/relationships/settings" Target="/word/settings.xml" Id="R0fdb1b952f0d4acc" /><Relationship Type="http://schemas.openxmlformats.org/officeDocument/2006/relationships/styles" Target="/word/styles.xml" Id="R28f6c9a65a694aec" /><Relationship Type="http://schemas.openxmlformats.org/officeDocument/2006/relationships/hyperlink" Target="https://meteor.aihw.gov.au/RegistrationAuthority/12" TargetMode="External" Id="R8519bd35f1eb4739" /><Relationship Type="http://schemas.openxmlformats.org/officeDocument/2006/relationships/numbering" Target="/word/numbering.xml" Id="R136a25aec7fb43a8" /><Relationship Type="http://schemas.openxmlformats.org/officeDocument/2006/relationships/hyperlink" Target="https://meteor.aihw.gov.au/content/448583" TargetMode="External" Id="R193d29ea60474da8" /><Relationship Type="http://schemas.openxmlformats.org/officeDocument/2006/relationships/hyperlink" Target="https://meteor.aihw.gov.au/RegistrationAuthority/12" TargetMode="External" Id="R972d70714d134921" /><Relationship Type="http://schemas.openxmlformats.org/officeDocument/2006/relationships/hyperlink" Target="https://meteor.aihw.gov.au/content/502529" TargetMode="External" Id="R20e65c0ef7a4475c" /><Relationship Type="http://schemas.openxmlformats.org/officeDocument/2006/relationships/hyperlink" Target="https://meteor.aihw.gov.au/RegistrationAuthority/12" TargetMode="External" Id="R2860ee30bfd44ffd" /><Relationship Type="http://schemas.openxmlformats.org/officeDocument/2006/relationships/hyperlink" Target="https://meteor.aihw.gov.au/content/436881" TargetMode="External" Id="Rc4a61748bdfd453a" /><Relationship Type="http://schemas.openxmlformats.org/officeDocument/2006/relationships/hyperlink" Target="https://meteor.aihw.gov.au/RegistrationAuthority/12" TargetMode="External" Id="R3e1780e1b9a74158" /></Relationships>
</file>

<file path=word/_rels/header1.xml.rels>&#65279;<?xml version="1.0" encoding="utf-8"?><Relationships xmlns="http://schemas.openxmlformats.org/package/2006/relationships"><Relationship Type="http://schemas.openxmlformats.org/officeDocument/2006/relationships/image" Target="/media/image.png" Id="R36e42fbad3f548dd" /></Relationships>
</file>