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89a0c465ed45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54-Aged care assessments completed,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54-Aged care assessments completed,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36bd30a51400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data collection is used for approval for clients to access Australian Government-funded aged care programs and coverage of clients is comprehensive.</w:t>
            </w:r>
          </w:p>
          <w:p>
            <w:pPr>
              <w:pStyle w:val="ListParagraph"/>
              <w:numPr>
                <w:ilvl w:val="0"/>
                <w:numId w:val="2"/>
              </w:numPr>
            </w:pPr>
            <w:r>
              <w:rPr>
                <w:rStyle w:val="row-content-rich-text"/>
              </w:rPr>
              <w:t xml:space="preserve">This indicator does not represent all assessment activity undertaken by Aged Care Assessment Teams (ACATs), only those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ACATs are funded and governed through a cooperative working agreement between the Australian and State and Territory governments. Submitting data to the Aged Care Assessment Program (ACAP) Minimum Data Set (MDS) is a condition of ACATs receiving Commonwealth funding. ACATs submit their data to the State evaluation unit. The state evaluation unit submits their data to the Ageing and Aged Care Data Warehouse managed by the Department of Health and Ageing (DoHA).</w:t>
            </w:r>
          </w:p>
          <w:p>
            <w:pPr/>
            <w:r>
              <w:rPr>
                <w:rStyle w:val="row-content-rich-text"/>
              </w:rPr>
              <w:t xml:space="preserve">The data quality statement was developed by the DoHA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provided to the Ageing and Aged Care Data Warehouse on a quarterly basis. The data is reliable for any financial year by June the following year. Data for financial year 2009‑10 has been used for the 2012 report. Data for 2010‑11 will be reported on in the 2013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Assessment and Approval Guidelines 2006</w:t>
            </w:r>
            <w:r>
              <w:rPr>
                <w:rStyle w:val="row-content-rich-text"/>
              </w:rPr>
              <w:t xml:space="preserve"> and the </w:t>
            </w:r>
            <w:r>
              <w:rPr>
                <w:rStyle w:val="row-content-rich-text"/>
                <w:i/>
              </w:rPr>
              <w:t xml:space="preserve">ACAP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from the ACAP MDS are published in the Steering Committee for the Review of Government Service Provision's (SCRGSP's) </w:t>
            </w:r>
            <w:r>
              <w:rPr>
                <w:rStyle w:val="row-content-rich-text"/>
                <w:i/>
              </w:rPr>
              <w:t xml:space="preserve">Report on Government Services</w:t>
            </w:r>
            <w:r>
              <w:rPr>
                <w:rStyle w:val="row-content-rich-text"/>
              </w:rPr>
              <w:t xml:space="preserve">, and in the </w:t>
            </w:r>
            <w:r>
              <w:rPr>
                <w:rStyle w:val="row-content-rich-text"/>
                <w:i/>
              </w:rPr>
              <w:t xml:space="preserve">Reports on the Operation of the Aged Care Act 1997</w:t>
            </w:r>
            <w:r>
              <w:rPr>
                <w:rStyle w:val="row-content-rich-text"/>
              </w:rPr>
              <w:t xml:space="preserve"> prepared by the DoHA.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collection provides comprehensive information on ACAT assessments.</w:t>
            </w:r>
          </w:p>
          <w:p>
            <w:pPr/>
            <w:r>
              <w:rPr>
                <w:rStyle w:val="row-content-rich-text"/>
              </w:rPr>
              <w:t xml:space="preserve">This indicator does not represent all assessment activity undertaken by ACATs, only those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Less than one per cent of ACAP records do not have a valid postcode for the client. These records have been excluded for analysis by remoteness and Socio-Economic Indexes for Areas (SEIFA), but are included in the totals.</w:t>
            </w:r>
          </w:p>
          <w:p>
            <w:pPr>
              <w:spacing w:after="160"/>
            </w:pPr>
            <w:r>
              <w:rPr>
                <w:rStyle w:val="row-content-rich-text"/>
              </w:rPr>
              <w:t xml:space="preserve">Data for New South Wales and South Australia in the Ageing and Aged Care Data Warehouse includes an unknown number of duplicate records created by a range of database changes and/or Aged Care Assessment Team amalgamations undertaken by the respective state governments. This has a flow-on effect on the national figures.</w:t>
            </w:r>
          </w:p>
          <w:p>
            <w:pPr/>
            <w:r>
              <w:rPr>
                <w:rStyle w:val="row-content-rich-text"/>
              </w:rPr>
              <w:t xml:space="preserve">For ACAP assessment data, where Indigenous status was not stated, those records were included in the Non‑Indigenous row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ACAP data is not directly comparable to previous years due to the </w:t>
            </w:r>
            <w:r>
              <w:rPr>
                <w:rStyle w:val="row-content-rich-text"/>
                <w:i/>
              </w:rPr>
              <w:t xml:space="preserve">Aged Care Amendment (2008 Measures No. 2) Act 2008</w:t>
            </w:r>
            <w:r>
              <w:rPr>
                <w:rStyle w:val="row-content-rich-text"/>
              </w:rPr>
              <w:t xml:space="preserve"> which commenced on 1 July 2009. These amendments had as an objective to reduce the number of unnecessary assessments performed by Aged Care Assessment Teams.</w:t>
            </w:r>
          </w:p>
          <w:p>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db16b71e4f4a28">
              <w:r>
                <w:rPr>
                  <w:rStyle w:val="Hyperlink"/>
                </w:rPr>
                <w:t xml:space="preserve">National Healthcare Agreement: PI 54: Aged care assessments completed, 2011 QS</w:t>
              </w:r>
            </w:hyperlink>
          </w:p>
          <w:p>
            <w:pPr>
              <w:spacing w:before="0" w:after="0"/>
            </w:pPr>
            <w:r>
              <w:rPr>
                <w:rStyle w:val="row-content"/>
                <w:color w:val="244061"/>
              </w:rPr>
              <w:t xml:space="preserve">       </w:t>
            </w:r>
            <w:hyperlink w:history="true" r:id="R642c752dca30477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88a5d9e9fe2428e">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a86aff5bf63542ea">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c9efbfe5ed2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a45d24e26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efbfe5ed24122" /><Relationship Type="http://schemas.openxmlformats.org/officeDocument/2006/relationships/header" Target="/word/header1.xml" Id="R8002bc8aa16745ad" /><Relationship Type="http://schemas.openxmlformats.org/officeDocument/2006/relationships/settings" Target="/word/settings.xml" Id="R074f905eb3ea4d3b" /><Relationship Type="http://schemas.openxmlformats.org/officeDocument/2006/relationships/styles" Target="/word/styles.xml" Id="R2d5f85e1928c449a" /><Relationship Type="http://schemas.openxmlformats.org/officeDocument/2006/relationships/hyperlink" Target="https://meteor.aihw.gov.au/RegistrationAuthority/12" TargetMode="External" Id="R9a336bd30a51400f" /><Relationship Type="http://schemas.openxmlformats.org/officeDocument/2006/relationships/numbering" Target="/word/numbering.xml" Id="Rb7f3855b02684d47" /><Relationship Type="http://schemas.openxmlformats.org/officeDocument/2006/relationships/hyperlink" Target="https://meteor.aihw.gov.au/content/448898" TargetMode="External" Id="R9cdb16b71e4f4a28" /><Relationship Type="http://schemas.openxmlformats.org/officeDocument/2006/relationships/hyperlink" Target="https://meteor.aihw.gov.au/RegistrationAuthority/12" TargetMode="External" Id="R642c752dca304772" /><Relationship Type="http://schemas.openxmlformats.org/officeDocument/2006/relationships/hyperlink" Target="https://meteor.aihw.gov.au/content/436891" TargetMode="External" Id="R688a5d9e9fe2428e" /><Relationship Type="http://schemas.openxmlformats.org/officeDocument/2006/relationships/hyperlink" Target="https://meteor.aihw.gov.au/RegistrationAuthority/12" TargetMode="External" Id="Ra86aff5bf63542ea" /></Relationships>
</file>

<file path=word/_rels/header1.xml.rels>&#65279;<?xml version="1.0" encoding="utf-8"?><Relationships xmlns="http://schemas.openxmlformats.org/package/2006/relationships"><Relationship Type="http://schemas.openxmlformats.org/officeDocument/2006/relationships/image" Target="/media/image.png" Id="R799a45d24e264ea9" /></Relationships>
</file>