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3cba8f93564b4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3ac1b455645e3">
              <w:r>
                <w:rPr>
                  <w:rStyle w:val="Hyperlink"/>
                  <w:color w:val="244061"/>
                </w:rPr>
                <w:t xml:space="preserve">Health</w:t>
              </w:r>
            </w:hyperlink>
            <w:r>
              <w:rPr>
                <w:rStyle w:val="row-content"/>
                <w:color w:val="244061"/>
              </w:rPr>
              <w:t xml:space="preserve">, Retired 14/01/2015</w:t>
            </w:r>
          </w:p>
          <w:p>
            <w:pPr>
              <w:spacing w:before="0" w:after="0"/>
            </w:pPr>
            <w:hyperlink w:history="true" r:id="R30b16b71db584fd2">
              <w:r>
                <w:rPr>
                  <w:rStyle w:val="Hyperlink"/>
                  <w:color w:val="244061"/>
                </w:rPr>
                <w:t xml:space="preserve">Indigenous</w:t>
              </w:r>
            </w:hyperlink>
            <w:r>
              <w:rPr>
                <w:rStyle w:val="row-content"/>
                <w:color w:val="244061"/>
              </w:rPr>
              <w:t xml:space="preserve">, Standard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AIHW Medical Labour Force Survey and the AIHW Nursing and Midwifery Labour Force Survey, which are the data sources for the indicator, were conducted with a focus on the overall professions, rather than Indigenous Australians. For the indicator, data are limited because of the small numbers of Indigenous Australians identified in the surveys. Small numbers are a result of: </w:t>
            </w:r>
            <w:r>
              <w:br/>
            </w:r>
            <w:r>
              <w:rPr>
                <w:rStyle w:val="row-content-rich-text"/>
              </w:rPr>
              <w:t xml:space="preserve">        • small Indigenous representation in the Australian population; </w:t>
            </w:r>
            <w:r>
              <w:br/>
            </w:r>
            <w:r>
              <w:rPr>
                <w:rStyle w:val="row-content-rich-text"/>
              </w:rPr>
              <w:t xml:space="preserve">        • small Indigenous representation in the Australian health workforce;</w:t>
            </w:r>
            <w:r>
              <w:br/>
            </w:r>
            <w:r>
              <w:rPr>
                <w:rStyle w:val="row-content-rich-text"/>
              </w:rPr>
              <w:t xml:space="preserve">        • voluntary Indigenous self-identification in the surveys. </w:t>
            </w:r>
          </w:p>
          <w:p>
            <w:pPr>
              <w:pStyle w:val="ListParagraph"/>
              <w:numPr>
                <w:ilvl w:val="0"/>
                <w:numId w:val="2"/>
              </w:numPr>
            </w:pPr>
            <w:r>
              <w:rPr>
                <w:rStyle w:val="row-content-rich-text"/>
              </w:rPr>
              <w:t xml:space="preserve">There is significant unexplained year-on-year variation in the data.</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State and Territory health authorities. The survey questionnaire is administered by the relevant registration board in each jurisdiction as part of the registration renewal process. Under agreement with AHMAC’s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is the 2009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Labour Force Survey and the Nursing and Midwifery Labour Force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Aboriginal and Torres Islander health labour force statistics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WA combined response categories. This has not affected the aggregate figures for ‘Indigenous’.</w:t>
            </w:r>
          </w:p>
          <w:p>
            <w:pPr>
              <w:spacing w:after="160"/>
            </w:pPr>
            <w:r>
              <w:rPr>
                <w:rStyle w:val="row-content-rich-text"/>
              </w:rPr>
              <w:t xml:space="preserve">The focus of the surveys was the overall profession, rather than Indigenous Australians. For the indicator, data are limited because the numbers of Indigenous Australians identified in the surveys were small. Small numbers are a result of:</w:t>
            </w:r>
          </w:p>
          <w:p>
            <w:pPr>
              <w:pStyle w:val="ListParagraph"/>
              <w:numPr>
                <w:ilvl w:val="0"/>
                <w:numId w:val="4"/>
              </w:numPr>
            </w:pPr>
            <w:r>
              <w:rPr>
                <w:rStyle w:val="row-content-rich-text"/>
              </w:rPr>
              <w:t xml:space="preserve">small Indigenous representation in the Australian population; </w:t>
            </w:r>
          </w:p>
          <w:p>
            <w:pPr>
              <w:pStyle w:val="ListParagraph"/>
              <w:numPr>
                <w:ilvl w:val="0"/>
                <w:numId w:val="4"/>
              </w:numPr>
            </w:pPr>
            <w:r>
              <w:rPr>
                <w:rStyle w:val="row-content-rich-text"/>
              </w:rPr>
              <w:t xml:space="preserve">small Indigenous representation in the Australian health workforce; </w:t>
            </w:r>
          </w:p>
          <w:p>
            <w:pPr>
              <w:pStyle w:val="ListParagraph"/>
              <w:numPr>
                <w:ilvl w:val="0"/>
                <w:numId w:val="4"/>
              </w:numPr>
            </w:pPr>
            <w:r>
              <w:rPr>
                <w:rStyle w:val="row-content-rich-text"/>
              </w:rPr>
              <w:t xml:space="preserve">voluntary Indigenous self-identification in the surveys. </w:t>
            </w:r>
          </w:p>
          <w:p>
            <w:pPr>
              <w:spacing w:after="160"/>
            </w:pPr>
            <w:r>
              <w:rPr>
                <w:rStyle w:val="row-content-rich-text"/>
              </w:rPr>
              <w:t xml:space="preserve">Reference periods differed across jurisdictions but were within a single calendar year. In both surveys, the questionnaire was sent out with registration renewal papers by the respective registration boards and the timing depended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in both surveys, response rates varied considerably across jurisdictions. This, coupled with small numbers, resulted in some variation in the reliability of the estimates across jurisdictions. Care should be taken when drawing conclusions about the size of the differences between estimates.</w:t>
            </w:r>
          </w:p>
          <w:p>
            <w:pPr/>
            <w:r>
              <w:rPr>
                <w:rStyle w:val="row-content-rich-text"/>
              </w:rPr>
              <w:t xml:space="preserve">Data are presented on medical practitioners and nurses/midwives only. These professions are only part of the health workforce and exclude Aboriginal Health Workers, a large segment of the Indigenous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Labour Force Survey,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2009 was 53.1 per cent for the Medical Labour Force Survey and 44.4 per cent for the Nursing and Midwifery Labour Force Survey.</w:t>
            </w:r>
          </w:p>
          <w:p>
            <w:pPr>
              <w:spacing w:after="160"/>
            </w:pPr>
            <w:r>
              <w:rPr>
                <w:rStyle w:val="row-content-rich-text"/>
              </w:rPr>
              <w:t xml:space="preserve">The data have undergone imputation for item non response and weighting to adjust for population non response. It should be noted that these adjustments are likely to introduce some bias in the final survey data and any bias is likely to become more pronounced as response rates decline.</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When comparing the 2009 AIHW Medical Labour Force Survey estimates of Indigenous medical practitioners across states and territories, note that:</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For Western Australia the 2008 benchmark used was the total number of registered practitioners in 2008 using 2007 age-by-sex proportions. For Western Australia the benchmark data was inflated by an unknown number of registered medical practitioners that are no longer active in the workforce.</w:t>
            </w:r>
          </w:p>
          <w:p>
            <w:pPr>
              <w:pStyle w:val="ListParagraph"/>
              <w:numPr>
                <w:ilvl w:val="0"/>
                <w:numId w:val="5"/>
              </w:numPr>
            </w:pPr>
            <w:r>
              <w:rPr>
                <w:rStyle w:val="row-content-rich-text"/>
              </w:rPr>
              <w:t xml:space="preserve">Data for Indigenous medical practitioners should be treated with caution due to the small population size, the overall response rate and unexplained variation between years.</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When comparing estimates from the 2009 Nursing and Midwifery Labour Force Survey data, State and Territory estimates should be treated as indicative only because of low response rates in some jurisdictions, particularly Victoria (33.3 per cent) Queensland (32.9 per cent), Western Australia (34.4 per cent) and the Northern Territory (34.9 per cent). In 2008, Victorian data was affected by large numbers of online survey records being unusable for technical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identifying Indigenous Australians has been very similar in the two data collections. Both have used the same self-identification question to collect Indigenous status, and both have used a self‑enumeration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Australians.</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Please refer to the Data Quality Statements for PI 64(b) in </w:t>
            </w:r>
            <w:r>
              <w:rPr>
                <w:rStyle w:val="row-content-rich-text"/>
                <w:i/>
              </w:rPr>
              <w:t xml:space="preserve">National Agreement Performance Information 2008-09 – National Healthcare Agreement</w:t>
            </w:r>
            <w:r>
              <w:rPr>
                <w:rStyle w:val="row-content-rich-text"/>
              </w:rPr>
              <w:t xml:space="preserve"> for information on the main factors which need to be taken into account when comparing results from the Census and the AIHW Health Labour Force Survey series.</w:t>
            </w:r>
          </w:p>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spacing w:after="160"/>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the significant differences in collection method, scope, coverage and definitions between the data sources.</w:t>
            </w:r>
          </w:p>
          <w:p>
            <w:pPr/>
            <w:r>
              <w:rPr>
                <w:rStyle w:val="row-content-rich-text"/>
              </w:rPr>
              <w:t xml:space="preserve">There are variations in reported numbers of Indigenous health professionals across years which we are unable to explain directly.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fd9906720e4e39">
              <w:r>
                <w:rPr>
                  <w:rStyle w:val="Hyperlink"/>
                </w:rPr>
                <w:t xml:space="preserve">National Healthcare Agreement: PI 64a: Indigenous Australians in the health workforce (for selected professions of medical practitioners and nurses/midwives), 2011 QS</w:t>
              </w:r>
            </w:hyperlink>
          </w:p>
          <w:p>
            <w:pPr>
              <w:spacing w:before="0" w:after="0"/>
            </w:pPr>
            <w:r>
              <w:rPr>
                <w:rStyle w:val="row-content"/>
                <w:color w:val="244061"/>
              </w:rPr>
              <w:t xml:space="preserve">       </w:t>
            </w:r>
            <w:hyperlink w:history="true" r:id="Rc1f1d9d5157e46a1">
              <w:r>
                <w:rPr>
                  <w:rStyle w:val="Hyperlink"/>
                  <w:color w:val="244061"/>
                </w:rPr>
                <w:t xml:space="preserve">Health</w:t>
              </w:r>
            </w:hyperlink>
            <w:r>
              <w:rPr>
                <w:rStyle w:val="row-content"/>
                <w:color w:val="244061"/>
              </w:rPr>
              <w:t xml:space="preserve">, Superseded 12/03/2015</w:t>
            </w:r>
          </w:p>
          <w:p>
            <w:pPr>
              <w:spacing w:before="0" w:after="0"/>
            </w:pPr>
            <w:r>
              <w:rPr>
                <w:rStyle w:val="row-content"/>
                <w:color w:val="244061"/>
              </w:rPr>
              <w:t xml:space="preserve">       </w:t>
            </w:r>
            <w:hyperlink w:history="true" r:id="R633bb890851248a9">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7f122b2bb83474c">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f2b79bb1414446fc">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0def65cc6c524a08">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a798f25bb3d5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4c7f27f7d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8f25bb3d54d01" /><Relationship Type="http://schemas.openxmlformats.org/officeDocument/2006/relationships/header" Target="/word/header1.xml" Id="R69589727e6354e74" /><Relationship Type="http://schemas.openxmlformats.org/officeDocument/2006/relationships/settings" Target="/word/settings.xml" Id="R124d6b2af994481a" /><Relationship Type="http://schemas.openxmlformats.org/officeDocument/2006/relationships/styles" Target="/word/styles.xml" Id="Re73d7ff2a2884940" /><Relationship Type="http://schemas.openxmlformats.org/officeDocument/2006/relationships/hyperlink" Target="https://meteor.aihw.gov.au/RegistrationAuthority/12" TargetMode="External" Id="R7ed3ac1b455645e3" /><Relationship Type="http://schemas.openxmlformats.org/officeDocument/2006/relationships/hyperlink" Target="https://meteor.aihw.gov.au/RegistrationAuthority/6" TargetMode="External" Id="R30b16b71db584fd2" /><Relationship Type="http://schemas.openxmlformats.org/officeDocument/2006/relationships/numbering" Target="/word/numbering.xml" Id="R211e5d29d40543f3" /><Relationship Type="http://schemas.openxmlformats.org/officeDocument/2006/relationships/hyperlink" Target="https://meteor.aihw.gov.au/content/448973" TargetMode="External" Id="Re2fd9906720e4e39" /><Relationship Type="http://schemas.openxmlformats.org/officeDocument/2006/relationships/hyperlink" Target="https://meteor.aihw.gov.au/RegistrationAuthority/12" TargetMode="External" Id="Rc1f1d9d5157e46a1" /><Relationship Type="http://schemas.openxmlformats.org/officeDocument/2006/relationships/hyperlink" Target="https://meteor.aihw.gov.au/RegistrationAuthority/6" TargetMode="External" Id="R633bb890851248a9" /><Relationship Type="http://schemas.openxmlformats.org/officeDocument/2006/relationships/hyperlink" Target="https://meteor.aihw.gov.au/content/435914" TargetMode="External" Id="R87f122b2bb83474c" /><Relationship Type="http://schemas.openxmlformats.org/officeDocument/2006/relationships/hyperlink" Target="https://meteor.aihw.gov.au/RegistrationAuthority/12" TargetMode="External" Id="Rf2b79bb1414446fc" /><Relationship Type="http://schemas.openxmlformats.org/officeDocument/2006/relationships/hyperlink" Target="https://meteor.aihw.gov.au/RegistrationAuthority/6" TargetMode="External" Id="R0def65cc6c524a08" /></Relationships>
</file>

<file path=word/_rels/header1.xml.rels>&#65279;<?xml version="1.0" encoding="utf-8"?><Relationships xmlns="http://schemas.openxmlformats.org/package/2006/relationships"><Relationship Type="http://schemas.openxmlformats.org/officeDocument/2006/relationships/image" Target="/media/image.png" Id="R9024c7f27f7d4873" /></Relationships>
</file>