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50943ceefb445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65-Net growth in health workforce,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65-Net growth in health workforce,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17737fa2e444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Results of the surveys are estimates because the raw data have undergone imputation and weighting to adjust for non-response. It should be noted that any of these adjustments may have introduced some bias in the final survey data and any bias is likely to become more pronounced as response rates decline. </w:t>
            </w:r>
          </w:p>
          <w:p>
            <w:pPr>
              <w:pStyle w:val="ListParagraph"/>
              <w:numPr>
                <w:ilvl w:val="0"/>
                <w:numId w:val="2"/>
              </w:numPr>
            </w:pPr>
            <w:r>
              <w:rPr>
                <w:rStyle w:val="row-content-rich-text"/>
              </w:rPr>
              <w:t xml:space="preserve">Care should be taken when drawing conclusions about the size of the differences between estimates. </w:t>
            </w:r>
          </w:p>
          <w:p>
            <w:pPr>
              <w:pStyle w:val="ListParagraph"/>
              <w:numPr>
                <w:ilvl w:val="0"/>
                <w:numId w:val="2"/>
              </w:numPr>
            </w:pPr>
            <w:r>
              <w:rPr>
                <w:rStyle w:val="row-content-rich-text"/>
              </w:rPr>
              <w:t xml:space="preserve">Care is also advised with State and Territory comparisons because of low response rates in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are estimates from the AIHW National Health Labour Force Survey series, which are annual surveys managed by State and Territory health authorities. The survey questionnaire is administered by the relevant registration boards in each jurisdiction as part of the registration renewal process. Under agreement with AHMAC’s Health Workforce Principal Committee, the AIHW cleans, manipulates, collates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 indicator data from the Medical Labour Force Survey are the 2008 and 2009 calendar years. The reference periods for the indicator data from the Nursing and Midwifery Labour Force Survey are the 2008 and 2009 calendar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pStyle w:val="ListParagraph"/>
              <w:numPr>
                <w:ilvl w:val="0"/>
                <w:numId w:val="3"/>
              </w:numPr>
            </w:pPr>
            <w:r>
              <w:rPr>
                <w:rStyle w:val="row-content-rich-text"/>
              </w:rPr>
              <w:t xml:space="preserve">Medical Labour Force Survey reports with associated Excel tables</w:t>
            </w:r>
          </w:p>
          <w:p>
            <w:pPr>
              <w:pStyle w:val="ListParagraph"/>
              <w:numPr>
                <w:ilvl w:val="0"/>
                <w:numId w:val="3"/>
              </w:numPr>
            </w:pPr>
            <w:r>
              <w:rPr>
                <w:rStyle w:val="row-content-rich-text"/>
              </w:rPr>
              <w:t xml:space="preserve">Nursing and Midwifery Labour Force Survey reports with associated Excel tables</w:t>
            </w:r>
          </w:p>
          <w:p>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Extensive explanatory information for the Medical Labour Force Surveys and the Nursing and Midwifery Labour Force Surveys is contained in the published reports and supplementary Excel tables for each, including collection method, scope and coverage, survey response, imputation and weighting procedures. 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The estimates for this indicator are based on the weighted responses from the AIHW surveys of the Medical Labour Force and the Nursing and Midwifery Labour Force. The two surveys have been conducted using very similar methods and measure similar concepts. The survey populations have been drawn from the respective professional registers for these occupations, maintained by each State and Territory registration board. The registers contain demographic information on all professionals allowed to practise in that state or territory and have been the most suitable framework for surveying the professions. The surveys have been designed to measure employment-related activity for each profession.</w:t>
            </w:r>
          </w:p>
          <w:p>
            <w:pPr>
              <w:spacing w:after="160"/>
            </w:pPr>
            <w:r>
              <w:rPr>
                <w:rStyle w:val="row-content-rich-text"/>
              </w:rPr>
              <w:t xml:space="preserve">The states and territories have agreed on the core content of the data collected, but there has been some variation in actual questions asked and in the questionnaire format. Where necessary and possible, the AIHW has mapped responses to provide nationally comparable estimates from each survey.</w:t>
            </w:r>
          </w:p>
          <w:p>
            <w:pPr>
              <w:spacing w:after="160"/>
            </w:pPr>
            <w:r>
              <w:rPr>
                <w:rStyle w:val="row-content-rich-text"/>
              </w:rPr>
              <w:t xml:space="preserve">Reference periods differed across jurisdictions but were within a single calendar year. The questionnaires were generally sent out with registration renewal papers by the respective registration boards for the professions, with survey timing depending on the registration practices for each profession within each jurisdiction.</w:t>
            </w:r>
          </w:p>
          <w:p>
            <w:pPr>
              <w:spacing w:after="160"/>
            </w:pPr>
            <w:r>
              <w:rPr>
                <w:rStyle w:val="row-content-rich-text"/>
              </w:rPr>
              <w:t xml:space="preserve">The indicators are disaggregated by State/Territory information primarily sourced from the registration boards. It should be noted that response rates varied considerably across jurisdictions resulting in some variation in the reliability of the estimates.</w:t>
            </w:r>
          </w:p>
          <w:p>
            <w:pPr>
              <w:spacing w:after="160"/>
            </w:pPr>
            <w:r>
              <w:rPr>
                <w:rStyle w:val="row-content-rich-text"/>
              </w:rPr>
              <w:t xml:space="preserve">Estimates were produced from the survey data, after weighting to adjust for non-response. For this indicator, data are presented as a full-time equivalent (FTE) number of health professionals. FTE = (number of employed professionals in each profession × average hours worked) ÷ the hours in a standard working week for each profession. For the indicator reporting, the standard working week for medical practitioners is 40 hours and the standard for nurses/midwives is 38 hours. The clinician/non-clinician disaggregation is based on work activity of main job.</w:t>
            </w:r>
          </w:p>
          <w:p>
            <w:pPr/>
            <w:r>
              <w:rPr>
                <w:rStyle w:val="row-content-rich-text"/>
              </w:rPr>
              <w:t xml:space="preserve">Postcode information was collected, although for the indicator reporting, its quality does not support disaggregation by variables based on postcode. Data disaggregation by the Socio-Economic Indexes for Areas (SEIFA) and AGSC Remoteness Areas is to be assessed for possible inclusion in future indicator reporting, pending further investigation into the quality of postcode information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of the survey data were undertaken by the individual State/Territory health authorities, whose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and, as a result, people registering in a profession for the first time in the reference year were not sent a questionnaire. For the medical survey, practitioners with conditional registration have not always been included. Overseas-trained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for the Medical Labour Force Survey was 68.7 per cent in 2008 and 53.1 per cent in 2009. The national response rate for the Nursing and Midwifery Labour Force Survey was 46.6 per cent in 2008 and 44.4 per cent in 2009.</w:t>
            </w:r>
          </w:p>
          <w:p>
            <w:pPr>
              <w:spacing w:after="160"/>
            </w:pPr>
            <w:r>
              <w:rPr>
                <w:rStyle w:val="row-content-rich-text"/>
              </w:rPr>
              <w:t xml:space="preserve">The data have undergone imputation for item non response and weighting to adjust for population non response. It should be noted that both of these kinds of non-response is likely to introduce some bias in the final survey data and any bias is likely to become more pronounced as response rates decline. Care should be taken when drawing conclusions about the size of the differences between estimates.</w:t>
            </w:r>
          </w:p>
          <w:p>
            <w:pPr>
              <w:spacing w:after="160"/>
            </w:pPr>
            <w:r>
              <w:rPr>
                <w:rStyle w:val="row-content-rich-text"/>
              </w:rPr>
              <w:t xml:space="preserve">Where possible, benchmark data were the number of registered medical practitioners or nurses/midwives in each State and Territory supplied to the AIHW by the State and Territory registration boards for each profession. Also if possible, benchmarks were broken down by age group and sex and if the data were not available from the boards this way, benchmark figures were obtained from other sources, such as registration board annual reports. Where available, benchmark data relate to the time the survey was conducted. Details of the benchmarks supplied by the states and territories for each survey can be found in the published survey reports on the AIHW website.</w:t>
            </w:r>
          </w:p>
          <w:p>
            <w:pPr>
              <w:spacing w:after="160"/>
            </w:pPr>
            <w:r>
              <w:rPr>
                <w:rStyle w:val="row-content-rich-text"/>
              </w:rPr>
              <w:t xml:space="preserve">It should be noted that in the Medical Labour Force Survey and the Nursing and Midwifery Labour Force Survey comparability between jurisdictions is limited by differences between the surveyed population and the available benchmark data. Currently there is no information available about the effect of these differences on the indicator data. As a result, the following should be noted when comparing State and Territory indicator data from both surveys:</w:t>
            </w:r>
          </w:p>
          <w:p>
            <w:pPr>
              <w:spacing w:after="160"/>
            </w:pPr>
            <w:r>
              <w:rPr>
                <w:rStyle w:val="row-content-rich-text"/>
                <w:u w:val="single"/>
              </w:rPr>
              <w:t xml:space="preserve">Medical Labour Force Survey</w:t>
            </w:r>
          </w:p>
          <w:p>
            <w:pPr>
              <w:pStyle w:val="ListParagraph"/>
              <w:numPr>
                <w:ilvl w:val="0"/>
                <w:numId w:val="4"/>
              </w:numPr>
            </w:pPr>
            <w:r>
              <w:rPr>
                <w:rStyle w:val="row-content-rich-text"/>
              </w:rPr>
              <w:t xml:space="preserve">In 2008 and 2009, NSW registration numbers were based on financial general registrants, conditionally registered specialists, limited prescribing and referring and non-practising medical practitioners only, resulting in an underestimate of the total number of practitioners in that state.</w:t>
            </w:r>
          </w:p>
          <w:p>
            <w:pPr>
              <w:pStyle w:val="ListParagraph"/>
              <w:numPr>
                <w:ilvl w:val="0"/>
                <w:numId w:val="4"/>
              </w:numPr>
            </w:pPr>
            <w:r>
              <w:rPr>
                <w:rStyle w:val="row-content-rich-text"/>
              </w:rPr>
              <w:t xml:space="preserve">In 2008 and 2009, the Queensland registration numbers did not include all conditionally registered medical practitioners, resulting in an underestimate of the total number of practitioners.</w:t>
            </w:r>
          </w:p>
          <w:p>
            <w:pPr>
              <w:pStyle w:val="ListParagraph"/>
              <w:numPr>
                <w:ilvl w:val="0"/>
                <w:numId w:val="4"/>
              </w:numPr>
            </w:pPr>
            <w:r>
              <w:rPr>
                <w:rStyle w:val="row-content-rich-text"/>
              </w:rPr>
              <w:t xml:space="preserve">In Queensland, unlike in 2008 and previous years, there was no option or prompt to fill out the survey forms presented as part of the online re-registration process. This may have been contributed to the low response rate, particularly for those who would normally re-register and fill out their survey form online.      </w:t>
            </w:r>
          </w:p>
          <w:p>
            <w:pPr>
              <w:pStyle w:val="ListParagraph"/>
              <w:numPr>
                <w:ilvl w:val="0"/>
                <w:numId w:val="4"/>
              </w:numPr>
            </w:pPr>
            <w:r>
              <w:rPr>
                <w:rStyle w:val="row-content-rich-text"/>
              </w:rPr>
              <w:t xml:space="preserve">The Queensland benchmarks for 2009 were taken from the Queensland medical board annual report which included an age breakdown in 10 year increments whilst the estimates for previous years was done using 5 year increments. Given that the response rates have fallen between 2008 and 2009 and that the response rates for some age groups are particularly small, (notably the response rate for 25-34 year olds was only 7.8 per cent for males and 11.4 per cent for females), Queensland data should be treated with caution, particularly for the younger groups, such as specialists-in-training and RACGP trainees.</w:t>
            </w:r>
          </w:p>
          <w:p>
            <w:pPr>
              <w:pStyle w:val="ListParagraph"/>
              <w:numPr>
                <w:ilvl w:val="0"/>
                <w:numId w:val="4"/>
              </w:numPr>
            </w:pPr>
            <w:r>
              <w:rPr>
                <w:rStyle w:val="row-content-rich-text"/>
              </w:rPr>
              <w:t xml:space="preserve">For WA, the 2008 benchmark used was the total number of registered practitioners in 2008 using 2007 age-by-sex proportions. For WA in 2008, the benchmark data was inflated by an unknown number of registered medical practitioners that are no longer active in the workforce. It is also unknown how significantly past years have been affected.</w:t>
            </w:r>
          </w:p>
          <w:p>
            <w:pPr>
              <w:pStyle w:val="ListParagraph"/>
              <w:numPr>
                <w:ilvl w:val="0"/>
                <w:numId w:val="4"/>
              </w:numPr>
            </w:pPr>
            <w:r>
              <w:rPr>
                <w:rStyle w:val="row-content-rich-text"/>
              </w:rPr>
              <w:t xml:space="preserve">In 2008 and 2009, Tasmanian registration numbers were based on general registrants, conditionally registered specialists and non-practising practitioners only, resulting in an underestimate of the total number of practitioners.</w:t>
            </w:r>
          </w:p>
          <w:p>
            <w:pPr>
              <w:pStyle w:val="ListParagraph"/>
              <w:numPr>
                <w:ilvl w:val="0"/>
                <w:numId w:val="4"/>
              </w:numPr>
            </w:pPr>
            <w:r>
              <w:rPr>
                <w:rStyle w:val="row-content-rich-text"/>
              </w:rPr>
              <w:t xml:space="preserve">Benchmarks for 2008 for the Australian Capital Territory have been revised so 2008 data does not match previously published data The Northern Territory response rate for 2009 is based on responses to the 2009 Medical Labour Force Survey weighted to 2009 number of registered practitioners published in the Medical Board of the Northern Territory Newsletter September 2009 using 2008 age by sex proportions.</w:t>
            </w:r>
          </w:p>
          <w:p>
            <w:pPr>
              <w:pStyle w:val="ListParagraph"/>
              <w:numPr>
                <w:ilvl w:val="0"/>
                <w:numId w:val="4"/>
              </w:numPr>
            </w:pPr>
            <w:r>
              <w:rPr>
                <w:rStyle w:val="row-content-rich-text"/>
              </w:rPr>
              <w:t xml:space="preserve">For the Northern Territory, benchmarks for 2007 (1,968 registrations) and 2009 (2,068 registrations) were based on the totals from the medical board newsletter relating to doctors who had been registered during any part of the year, while the 2008 benchmarks (1,677 registrations) were based on data analysis by Northern Territory health department which was restricted to practitioners registered at a point in time (but included the only source for data by age group). The difference between these two sources for 2008 (1,925 in the medical board newsletter vs. 1,677 on the database) was concentrated in conditionally registered medical practitioners (i.e. short term registrations). The small decline in the survey data for 2008 and subsequent apparent large increase in the 2009 data is attributable to this difference in the benchmark data source. In contrast AIHW calculations show that the increase in FTE between 2007 and 2009 was a more reasonable 10.3 per cent over two years.</w:t>
            </w:r>
          </w:p>
          <w:p>
            <w:pPr>
              <w:pStyle w:val="ListParagraph"/>
              <w:numPr>
                <w:ilvl w:val="0"/>
                <w:numId w:val="4"/>
              </w:numPr>
            </w:pPr>
            <w:r>
              <w:rPr>
                <w:rStyle w:val="row-content-rich-text"/>
              </w:rPr>
              <w:t xml:space="preserve">The overall response rate fell from 68.9 per cent in 2008 to 53.1 per cent in 2009. Jurisdictions with large decreases between 2008 and 2009 include Victoria (from 68.4 per cent to 40.3 per cent), Queensland (from 65.2 per cent to 31.9 per cent), Western Australia (from 51.6 per cent to 42.8 per cent), Tasmania (from 59.6 per cent to 46.1 per cent) and the Northern Territory (from 44.4 per cent to 37.3 per cent). Changes between years may be affected by biases introduced by these falls in the response rate.</w:t>
            </w:r>
          </w:p>
          <w:p>
            <w:pPr>
              <w:spacing w:after="160"/>
            </w:pPr>
            <w:r>
              <w:rPr>
                <w:rStyle w:val="row-content-rich-text"/>
                <w:u w:val="single"/>
              </w:rPr>
              <w:t xml:space="preserve">Nursing and Midwifery Labour Force Survey</w:t>
            </w:r>
          </w:p>
          <w:p>
            <w:pPr>
              <w:pStyle w:val="ListParagraph"/>
              <w:numPr>
                <w:ilvl w:val="0"/>
                <w:numId w:val="5"/>
              </w:numPr>
            </w:pPr>
            <w:r>
              <w:rPr>
                <w:rStyle w:val="row-content-rich-text"/>
              </w:rPr>
              <w:t xml:space="preserve">For 2008, State and Territory estimates should be treated with caution due to low response rates in some jurisdictions, particularly Victoria (33.3 per cent). Queensland (32.9 per cent), WA (34.4 per cent) and NT (24.9 per cent). In 2008, Victorian data was affected by large numbers of online survey records not being able to be used for technical reasons (see below). 2008 data for Victoria has been revised due to a correction of an error in processing.</w:t>
            </w:r>
          </w:p>
          <w:p>
            <w:pPr>
              <w:pStyle w:val="ListParagraph"/>
              <w:numPr>
                <w:ilvl w:val="0"/>
                <w:numId w:val="5"/>
              </w:numPr>
            </w:pPr>
            <w:r>
              <w:rPr>
                <w:rStyle w:val="row-content-rich-text"/>
              </w:rPr>
              <w:t xml:space="preserve">Due to concerns regarding interaction between clinical status, data quality and the low response rate the growth rates for the ACT should be treated with caution.</w:t>
            </w:r>
          </w:p>
          <w:p>
            <w:pPr>
              <w:pStyle w:val="ListParagraph"/>
              <w:numPr>
                <w:ilvl w:val="0"/>
                <w:numId w:val="5"/>
              </w:numPr>
            </w:pPr>
            <w:r>
              <w:rPr>
                <w:rStyle w:val="row-content-rich-text"/>
              </w:rPr>
              <w:t xml:space="preserve">For 2009, benchmark data for Western Australia was estimated by using the total from the Nursing board annual report prorated to the 2008 age distribution.</w:t>
            </w:r>
          </w:p>
          <w:p>
            <w:pPr>
              <w:pStyle w:val="ListParagraph"/>
              <w:numPr>
                <w:ilvl w:val="0"/>
                <w:numId w:val="5"/>
              </w:numPr>
            </w:pPr>
            <w:r>
              <w:rPr>
                <w:rStyle w:val="row-content-rich-text"/>
              </w:rPr>
              <w:t xml:space="preserve">The response rate for the Northern Territory is affected by the transient nature of the nursing labour force in that jurisdiction. According to the Nursing Board Annual Report, approximately one-third of all nurses do not re-register each year, primarily because they no longer practise in the jurisdiction. There has been some variation across years in the degree to which nurses who are interstate have been removed from the renewal process and hence the survey. Benchmark data for the Northern Territory in 2009 was estimated by using the total from the Nursing board quarterly bulletin report prorated to the 2008 age distribution.</w:t>
            </w:r>
          </w:p>
          <w:p>
            <w:pPr/>
            <w:r>
              <w:rPr>
                <w:rStyle w:val="row-content-rich-text"/>
              </w:rPr>
              <w:t xml:space="preserve">As a result of the estimation process used for non-response, numbers of medical practitioners or nurses/midwives may have been in fractions, but were rounded to whole numbers for publication. The FTE calculation for medical practitioners and nurses/midwives is based on rounded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Comparability of estimates for the medical workforce between 2008 and 2009 is limited by differences in coverage of the available benchmark across years (see Accuracy above). Care should be taken when drawing conclusions about the size of the differences between estimates across these years.</w:t>
            </w:r>
          </w:p>
          <w:p>
            <w:pPr>
              <w:spacing w:after="160"/>
            </w:pPr>
            <w:r>
              <w:rPr>
                <w:rStyle w:val="row-content-rich-text"/>
              </w:rPr>
              <w:t xml:space="preserve">Currently there is no information available about the effect of these differences on the indicator data.</w:t>
            </w:r>
          </w:p>
          <w:p>
            <w:pPr/>
            <w:r>
              <w:rPr>
                <w:rStyle w:val="row-content-rich-text"/>
              </w:rPr>
              <w:t xml:space="preserve">Some broad-level comparisons of workforce percentage growth have been made between Medical Labour Force Surveys, the ABS Census of Population and Housing and Medicare administrative data. All sources showed upward trends, although comparisons are limited by significant differences in collection method, scope, coverage and definitions between the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3583314de8490e">
              <w:r>
                <w:rPr>
                  <w:rStyle w:val="Hyperlink"/>
                </w:rPr>
                <w:t xml:space="preserve">National Healthcare Agreement: PI 65-Net growth in health workforce, 2011 QS</w:t>
              </w:r>
            </w:hyperlink>
          </w:p>
          <w:p>
            <w:pPr>
              <w:pStyle w:val="registration-status"/>
              <w:spacing w:before="0" w:after="0"/>
            </w:pPr>
            <w:hyperlink w:history="true" r:id="R0526d225736047d6">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45723220343b43fd">
              <w:r>
                <w:rPr>
                  <w:rStyle w:val="Hyperlink"/>
                </w:rPr>
                <w:t xml:space="preserve">National Healthcare Agreement: PI 33-Full time equivalent employed health practitioners per 1,000 population (by age group), 2013 QS</w:t>
              </w:r>
            </w:hyperlink>
          </w:p>
          <w:p>
            <w:pPr>
              <w:pStyle w:val="registration-status"/>
              <w:spacing w:before="0" w:after="0"/>
            </w:pPr>
            <w:hyperlink w:history="true" r:id="Rcf2a11d4678a42a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20fa967e25f42ef">
              <w:r>
                <w:rPr>
                  <w:rStyle w:val="Hyperlink"/>
                </w:rPr>
                <w:t xml:space="preserve">National Healthcare Agreement: PI 65-Net growth in health workforce, 2012</w:t>
              </w:r>
            </w:hyperlink>
          </w:p>
          <w:p>
            <w:pPr>
              <w:pStyle w:val="registration-status"/>
              <w:spacing w:before="0" w:after="0"/>
            </w:pPr>
            <w:hyperlink w:history="true" r:id="R5455e8346cd94a5a">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6319d4d50c85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a7ab37ab1d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9d4d50c854af4" /><Relationship Type="http://schemas.openxmlformats.org/officeDocument/2006/relationships/header" Target="/word/header1.xml" Id="R9cc674ca005c43b9" /><Relationship Type="http://schemas.openxmlformats.org/officeDocument/2006/relationships/settings" Target="/word/settings.xml" Id="Rba21ec3c857047cb" /><Relationship Type="http://schemas.openxmlformats.org/officeDocument/2006/relationships/styles" Target="/word/styles.xml" Id="R6db5bcfe3b804939" /><Relationship Type="http://schemas.openxmlformats.org/officeDocument/2006/relationships/numbering" Target="/word/numbering.xml" Id="R383aeb2ecc584187" /><Relationship Type="http://schemas.openxmlformats.org/officeDocument/2006/relationships/hyperlink" Target="https://meteor.aihw.gov.au/RegistrationAuthority/12" TargetMode="External" Id="Rfc217737fa2e444d" /><Relationship Type="http://schemas.openxmlformats.org/officeDocument/2006/relationships/hyperlink" Target="https://meteor.aihw.gov.au/content/449083" TargetMode="External" Id="Red3583314de8490e" /><Relationship Type="http://schemas.openxmlformats.org/officeDocument/2006/relationships/hyperlink" Target="https://meteor.aihw.gov.au/RegistrationAuthority/12" TargetMode="External" Id="R0526d225736047d6" /><Relationship Type="http://schemas.openxmlformats.org/officeDocument/2006/relationships/hyperlink" Target="https://meteor.aihw.gov.au/content/509857" TargetMode="External" Id="R45723220343b43fd" /><Relationship Type="http://schemas.openxmlformats.org/officeDocument/2006/relationships/hyperlink" Target="https://meteor.aihw.gov.au/RegistrationAuthority/12" TargetMode="External" Id="Rcf2a11d4678a42a1" /><Relationship Type="http://schemas.openxmlformats.org/officeDocument/2006/relationships/hyperlink" Target="https://meteor.aihw.gov.au/content/435911" TargetMode="External" Id="Rc20fa967e25f42ef" /><Relationship Type="http://schemas.openxmlformats.org/officeDocument/2006/relationships/hyperlink" Target="https://meteor.aihw.gov.au/RegistrationAuthority/12" TargetMode="External" Id="R5455e8346cd94a5a" /></Relationships>
</file>

<file path=word/_rels/header1.xml.rels>&#65279;<?xml version="1.0" encoding="utf-8"?><Relationships xmlns="http://schemas.openxmlformats.org/package/2006/relationships"><Relationship Type="http://schemas.openxmlformats.org/officeDocument/2006/relationships/image" Target="/media/image.png" Id="Re0a7ab37ab1d4981" /></Relationships>
</file>