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c2af007be74d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78db2b81841f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  </w:t>
            </w:r>
          </w:p>
          <w:p>
            <w:pPr>
              <w:pStyle w:val="ListParagraph"/>
              <w:numPr>
                <w:ilvl w:val="0"/>
                <w:numId w:val="2"/>
              </w:numPr>
            </w:pPr>
            <w:r>
              <w:rPr>
                <w:rStyle w:val="row-content-rich-text"/>
              </w:rPr>
              <w:t xml:space="preserve">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 </w:t>
            </w:r>
          </w:p>
          <w:p>
            <w:pPr>
              <w:pStyle w:val="ListParagraph"/>
              <w:numPr>
                <w:ilvl w:val="0"/>
                <w:numId w:val="2"/>
              </w:numPr>
            </w:pPr>
            <w:r>
              <w:rPr>
                <w:rStyle w:val="row-content-rich-text"/>
              </w:rPr>
              <w:t xml:space="preserve">Expenditure by local government is included but expenditure by non-government providers of health and aged care services is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health expenditure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 GFS enables policy makers and users to analyse the financial operations and financial position of the public sector by the level of government, institutional sector or set of transactions.</w:t>
            </w:r>
          </w:p>
          <w:p>
            <w:pPr/>
            <w:r>
              <w:rPr>
                <w:rStyle w:val="row-content-rich-text"/>
              </w:rPr>
              <w:t xml:space="preserve">Capital expenditure by Victoria as reported does not take account of projects completed under the Partnership Victoria policy for the design, construction, finance and maintenance of major public hospitals by private consortiums. Examples since 2004‑05 have been the Royal Women’s Hospital, Casey Hospital, St. Vincent's Hospital and the new Royal Children's Hospital. For the latter the underlying arrangements are recognised by the hospital through a finance lease. There is no capital expenditure by the State, however; the department's 2009‑10 accounts recognise total expenditure commitments of $5,548.6 million for these projects, and similar arrangements that apply for the Mildura and St. Vincent's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2009–10 were derived from the Government Finance Statistics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w:t>
            </w:r>
            <w:r>
              <w:rPr>
                <w:rStyle w:val="row-content-rich-text"/>
                <w:i/>
              </w:rPr>
              <w:t xml:space="preserve">System of National Accounts 2008</w:t>
            </w:r>
            <w:r>
              <w:rPr>
                <w:rStyle w:val="row-content-rich-text"/>
              </w:rPr>
              <w:t xml:space="preserve"> (SNA2008) and the International Monetary Fund's </w:t>
            </w:r>
            <w:r>
              <w:rPr>
                <w:rStyle w:val="row-content-rich-text"/>
                <w:i/>
              </w:rPr>
              <w:t xml:space="preserve">Government Finance Statistics Manual 2001</w:t>
            </w:r>
            <w:r>
              <w:rPr>
                <w:rStyle w:val="row-content-rich-text"/>
              </w:rPr>
              <w:t xml:space="preserve">.</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Health expenditure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353d1db42430f">
              <w:r>
                <w:rPr>
                  <w:rStyle w:val="Hyperlink"/>
                </w:rPr>
                <w:t xml:space="preserve">National Healthcare Agreement: PI 67-Capital expenditure on health and aged care facilities as a proportion of capital consumption expenditure on health and aged care facilities, 2011 QS</w:t>
              </w:r>
            </w:hyperlink>
          </w:p>
          <w:p>
            <w:pPr>
              <w:pStyle w:val="registration-status"/>
              <w:spacing w:before="0" w:after="0"/>
            </w:pPr>
            <w:hyperlink w:history="true" r:id="R7074824f01d3463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13fa994da9345fe">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86a2c5505ccf436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8b740867018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eb376b13b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7408670184eb0" /><Relationship Type="http://schemas.openxmlformats.org/officeDocument/2006/relationships/header" Target="/word/header1.xml" Id="R1abc57d5759a476f" /><Relationship Type="http://schemas.openxmlformats.org/officeDocument/2006/relationships/settings" Target="/word/settings.xml" Id="R0638336daf904c61" /><Relationship Type="http://schemas.openxmlformats.org/officeDocument/2006/relationships/styles" Target="/word/styles.xml" Id="R889d3911d677433d" /><Relationship Type="http://schemas.openxmlformats.org/officeDocument/2006/relationships/numbering" Target="/word/numbering.xml" Id="Rf2b3a5d87875416b" /><Relationship Type="http://schemas.openxmlformats.org/officeDocument/2006/relationships/hyperlink" Target="https://meteor.aihw.gov.au/RegistrationAuthority/12" TargetMode="External" Id="Rbc878db2b81841f9" /><Relationship Type="http://schemas.openxmlformats.org/officeDocument/2006/relationships/hyperlink" Target="https://meteor.aihw.gov.au/content/449089" TargetMode="External" Id="R098353d1db42430f" /><Relationship Type="http://schemas.openxmlformats.org/officeDocument/2006/relationships/hyperlink" Target="https://meteor.aihw.gov.au/RegistrationAuthority/12" TargetMode="External" Id="R7074824f01d34635" /><Relationship Type="http://schemas.openxmlformats.org/officeDocument/2006/relationships/hyperlink" Target="https://meteor.aihw.gov.au/content/436861" TargetMode="External" Id="Re13fa994da9345fe" /><Relationship Type="http://schemas.openxmlformats.org/officeDocument/2006/relationships/hyperlink" Target="https://meteor.aihw.gov.au/RegistrationAuthority/12" TargetMode="External" Id="R86a2c5505ccf436d" /></Relationships>
</file>

<file path=word/_rels/header1.xml.rels>&#65279;<?xml version="1.0" encoding="utf-8"?><Relationships xmlns="http://schemas.openxmlformats.org/package/2006/relationships"><Relationship Type="http://schemas.openxmlformats.org/officeDocument/2006/relationships/image" Target="/media/image.png" Id="R69ceb376b13b4d6d" /></Relationships>
</file>