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62be2d33eb42ca" /></Relationships>
</file>

<file path=word/document.xml><?xml version="1.0" encoding="utf-8"?>
<w:document xmlns:r="http://schemas.openxmlformats.org/officeDocument/2006/relationships" xmlns:w="http://schemas.openxmlformats.org/wordprocessingml/2006/main">
  <w:body>
    <w:p>
      <w:pPr>
        <w:pStyle w:val="Title"/>
      </w:pPr>
      <w:r>
        <w:t>Service type outlet—hours worked (volunteer/unpaid staff), total hours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outlet—hours worked (volunteer/unpaid staff),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volunteer/unpaid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6184e05ea84eba">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d1e75cb2eeb047e5">
              <w:r>
                <w:rPr>
                  <w:rStyle w:val="Hyperlink"/>
                  <w:color w:val="244061"/>
                </w:rPr>
                <w:t xml:space="preserve">Disability</w:t>
              </w:r>
            </w:hyperlink>
            <w:r>
              <w:rPr>
                <w:rStyle w:val="row-content"/>
                <w:color w:val="244061"/>
              </w:rPr>
              <w:t xml:space="preserve">, Superseded 17/12/2017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by all </w:t>
            </w:r>
            <w:hyperlink w:tooltip="A person who willingly gives unpaid help in the form of time, service or skills through an organisation or group." w:history="true" r:id="R2026cbb4b0874cf5">
              <w:r>
                <w:rPr>
                  <w:rStyle w:val="Hyperlink"/>
                  <w:b/>
                </w:rPr>
                <w:t xml:space="preserve">volunteer</w:t>
              </w:r>
            </w:hyperlink>
            <w:r>
              <w:rPr>
                <w:rStyle w:val="row-content-rich-text"/>
              </w:rPr>
              <w:t xml:space="preserve">/unpaid staff in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the analysis of staffing inputs and to enable a comparison of the staffing requirements of different service types. It is important to include volunteers due to the significant contribution they make within many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56f292cb304f35">
              <w:r>
                <w:rPr>
                  <w:rStyle w:val="Hyperlink"/>
                </w:rPr>
                <w:t xml:space="preserve">Service type outlet—hours worked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8070c58397496a">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asking for actual staff hours worked by volunteer staff, not the rostered hours or full-time equivalent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this metadata item may be collected for a specified week. Other collections may specify a 'usual' week or an average week calculated from a number of weeks or the entire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41458ab52445f4">
              <w:r>
                <w:rPr>
                  <w:rStyle w:val="Hyperlink"/>
                </w:rPr>
                <w:t xml:space="preserve">Service type outlet—unpaid staff hours worked, total hours NNNNN</w:t>
              </w:r>
            </w:hyperlink>
          </w:p>
          <w:p>
            <w:pPr>
              <w:spacing w:before="0" w:after="0"/>
            </w:pPr>
            <w:r>
              <w:rPr>
                <w:rStyle w:val="row-content"/>
                <w:color w:val="244061"/>
              </w:rPr>
              <w:t xml:space="preserve">       </w:t>
            </w:r>
            <w:hyperlink w:history="true" r:id="R7b2aa7fadd6c44cb">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160bcaaae54e2b">
              <w:r>
                <w:rPr>
                  <w:rStyle w:val="Hyperlink"/>
                </w:rPr>
                <w:t xml:space="preserve">Disability Services NMDS 2015–16</w:t>
              </w:r>
            </w:hyperlink>
          </w:p>
          <w:p>
            <w:pPr>
              <w:spacing w:before="0" w:after="0"/>
            </w:pPr>
            <w:r>
              <w:rPr>
                <w:rStyle w:val="row-content"/>
                <w:color w:val="244061"/>
              </w:rPr>
              <w:t xml:space="preserve">       </w:t>
            </w:r>
            <w:hyperlink w:history="true" r:id="R8c14d44d229f41df">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refers to hours worked by volunteer/unpaid staff refers to the actual total hours worked by staff, volunteers or students and others who do not receive payment for the work which they perform on behalf of the </w:t>
            </w:r>
            <w:hyperlink w:tooltip="A service type outlet is the unit of the funded agency that delivers a particular National Disability Agreement (NDA) service type at or from a discrete location." w:history="true" r:id="Rf27f2b82599248b5">
              <w:r>
                <w:rPr>
                  <w:rStyle w:val="Hyperlink"/>
                  <w:b/>
                </w:rPr>
                <w:t xml:space="preserve">service type outlet</w:t>
              </w:r>
            </w:hyperlink>
            <w:r>
              <w:rPr>
                <w:rStyle w:val="row-content"/>
              </w:rPr>
              <w:t xml:space="preserve">. It collects hours worked, not full-time equivalents or rostered weekly hours. It includes hours worked on behalf of the service type outlet both directly delivered to </w:t>
            </w:r>
            <w:hyperlink w:tooltip="A National Disability Agreement (NDA) service user is a person with a disability who received one or more NDA-funded services during the reporting period (e.g. the financial year)." w:history="true" r:id="R2ce1c4bc0af6473b">
              <w:r>
                <w:rPr>
                  <w:rStyle w:val="Hyperlink"/>
                  <w:b/>
                </w:rPr>
                <w:t xml:space="preserve">service users</w:t>
              </w:r>
            </w:hyperlink>
            <w:r>
              <w:rPr>
                <w:rStyle w:val="row-content"/>
              </w:rPr>
              <w:t xml:space="preserve">, and indirectly to service users (e.g. indirect hours such as related committee meetings).</w:t>
            </w:r>
          </w:p>
          <w:p>
            <w:r>
              <w:rPr>
                <w:rStyle w:val="row-content"/>
              </w:rPr>
              <w:t xml:space="preserve">This data element is collected twice within the Disability Services Minimum Data Set (DS NMDS):</w:t>
            </w:r>
          </w:p>
          <w:p>
            <w:pPr>
              <w:pStyle w:val="ListParagraph"/>
              <w:numPr>
                <w:ilvl w:val="0"/>
                <w:numId w:val="2"/>
              </w:numPr>
            </w:pPr>
            <w:r>
              <w:rPr>
                <w:rStyle w:val="row-content"/>
              </w:rPr>
              <w:t xml:space="preserve">the actual total hours worked by all volunteer/unpaid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2"/>
              </w:numPr>
            </w:pPr>
            <w:r>
              <w:rPr>
                <w:rStyle w:val="row-content"/>
              </w:rPr>
              <w:t xml:space="preserve">actual total hours worked by all volunter/unpaid staff for a service type outlet for a </w:t>
            </w:r>
            <w:r>
              <w:rPr>
                <w:rStyle w:val="row-content"/>
                <w:b/>
              </w:rPr>
              <w:t xml:space="preserve">typical</w:t>
            </w:r>
            <w:r>
              <w:rPr>
                <w:rStyle w:val="row-content"/>
              </w:rPr>
              <w:t xml:space="preserve"> 7-day week.</w:t>
            </w:r>
          </w:p>
          <w:p>
            <w:r>
              <w:rPr>
                <w:rStyle w:val="row-content"/>
              </w:rPr>
              <w:t xml:space="preserve">Staff hours should be rounded up to the nearest whole hour.</w:t>
            </w:r>
          </w:p>
          <w:p>
            <w:r>
              <w:rPr>
                <w:rStyle w:val="row-content"/>
              </w:rPr>
              <w:t xml:space="preserve">Inclusions and exclusions for the calculation of unpaid/volunteer staff hours:</w:t>
            </w:r>
          </w:p>
          <w:p>
            <w:pPr>
              <w:pStyle w:val="ListParagraph"/>
              <w:numPr>
                <w:ilvl w:val="0"/>
                <w:numId w:val="3"/>
              </w:numPr>
            </w:pPr>
            <w:r>
              <w:rPr>
                <w:rStyle w:val="row-content"/>
              </w:rPr>
              <w:t xml:space="preserve">Includes:</w:t>
            </w:r>
            <w:r>
              <w:br/>
            </w:r>
            <w:r>
              <w:rPr>
                <w:rStyle w:val="row-content"/>
              </w:rPr>
              <w:t xml:space="preserve">        • staff hours worked as unpaid work by usually paid or contract staff</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w:t>
            </w:r>
          </w:p>
          <w:p>
            <w:pPr>
              <w:pStyle w:val="ListParagraph"/>
              <w:numPr>
                <w:ilvl w:val="0"/>
                <w:numId w:val="3"/>
              </w:numPr>
            </w:pPr>
            <w:r>
              <w:rPr>
                <w:rStyle w:val="row-content"/>
              </w:rPr>
              <w:t xml:space="preserve">Excludes: </w:t>
            </w:r>
            <w:r>
              <w:br/>
            </w:r>
            <w:r>
              <w:rPr>
                <w:rStyle w:val="row-content"/>
              </w:rPr>
              <w:t xml:space="preserve">        • staff hours worked while staff receive payment for sleepover duties</w:t>
            </w:r>
            <w:r>
              <w:br/>
            </w:r>
            <w:r>
              <w:rPr>
                <w:rStyle w:val="row-content"/>
              </w:rPr>
              <w:t xml:space="preserve">        • staff hours worked on committees or at meetings relevant to this service type</w:t>
            </w:r>
            <w:r>
              <w:br/>
            </w:r>
            <w:r>
              <w:rPr>
                <w:rStyle w:val="row-content"/>
              </w:rPr>
              <w:t xml:space="preserve">        • staff hours worked as paid overtime (to be included with paid staff hours)</w:t>
            </w:r>
            <w:r>
              <w:br/>
            </w:r>
            <w:r>
              <w:rPr>
                <w:rStyle w:val="row-content"/>
              </w:rPr>
              <w:t xml:space="preserve">        • staff hours for workers on leave (including public holidays, paid/unpaid sick leave, i.e. this data item relates to staff hours worked, not staff hours paid for)</w:t>
            </w:r>
            <w:r>
              <w:br/>
            </w:r>
            <w:r>
              <w:rPr>
                <w:rStyle w:val="row-content"/>
              </w:rPr>
              <w:t xml:space="preserve">        • staff hours normally worked in positions that are currently vacant staff hours allocated to non-National Disability Agreement (NDA) service users.</w:t>
            </w:r>
          </w:p>
          <w:p>
            <w:r>
              <w:rPr>
                <w:rStyle w:val="row-content"/>
              </w:rP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62032f9568094416">
              <w:r>
                <w:rPr>
                  <w:rStyle w:val="Hyperlink"/>
                  <w:b/>
                </w:rPr>
                <w:t xml:space="preserve">funded agencies </w:t>
              </w:r>
            </w:hyperlink>
            <w:r>
              <w:rPr>
                <w:rStyle w:val="row-content"/>
              </w:rPr>
              <w:t xml:space="preserve">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4"/>
              </w:numPr>
            </w:pPr>
            <w:r>
              <w:rPr>
                <w:rStyle w:val="row-content"/>
              </w:rPr>
              <w:t xml:space="preserve">use fortnightly rosters as a starting point apportion total staff hours across funded service types</w:t>
            </w:r>
          </w:p>
          <w:p>
            <w:pPr>
              <w:pStyle w:val="ListParagraph"/>
              <w:numPr>
                <w:ilvl w:val="0"/>
                <w:numId w:val="4"/>
              </w:numPr>
            </w:pPr>
            <w:r>
              <w:rPr>
                <w:rStyle w:val="row-content"/>
              </w:rPr>
              <w:t xml:space="preserve">divide this figure by two to get weekly staff hours for the week preceding the end of the reporting period.</w:t>
            </w:r>
          </w:p>
          <w:p>
            <w:r>
              <w:rPr>
                <w:rStyle w:val="row-content"/>
              </w:rP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w:t>
            </w:r>
            <w:hyperlink w:history="true" r:id="R92a6a5071afe4657">
              <w:r>
                <w:rPr>
                  <w:rStyle w:val="Hyperlink"/>
                </w:rPr>
                <w:t xml:space="preserve">service type</w:t>
              </w:r>
            </w:hyperlink>
            <w:r>
              <w:rPr>
                <w:rStyle w:val="row-content"/>
              </w:rPr>
              <w:t xml:space="preserve"> 2.06 </w:t>
            </w:r>
            <w:r>
              <w:rPr>
                <w:rStyle w:val="row-content"/>
                <w:i/>
              </w:rPr>
              <w:t xml:space="preserve">Case management, local coordination and development</w:t>
            </w:r>
            <w:r>
              <w:rPr>
                <w:rStyle w:val="row-content"/>
              </w:rPr>
              <w:t xml:space="preserve">, the following rules for calculating staff hours apply:</w:t>
            </w:r>
          </w:p>
          <w:p>
            <w:pPr>
              <w:pStyle w:val="ListParagraph"/>
              <w:numPr>
                <w:ilvl w:val="0"/>
                <w:numId w:val="5"/>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5"/>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5"/>
              </w:numPr>
            </w:pPr>
            <w:r>
              <w:rPr>
                <w:rStyle w:val="row-content"/>
              </w:rPr>
              <w:t xml:space="preserve">see also data items 17e–f ‘</w:t>
            </w:r>
            <w:hyperlink w:history="true" r:id="R08499a044c2c42cb">
              <w:r>
                <w:rPr>
                  <w:rStyle w:val="Hyperlink"/>
                </w:rPr>
                <w:t xml:space="preserve">hours received</w:t>
              </w:r>
            </w:hyperlink>
            <w:r>
              <w:rPr>
                <w:rStyle w:val="row-content"/>
              </w:rPr>
              <w:t xml:space="preserve">’ per service user, as similar rules apply to the calculation of hours received by service users.</w:t>
            </w:r>
          </w:p>
          <w:p>
            <w:r>
              <w:rPr>
                <w:rStyle w:val="row-content"/>
              </w:rPr>
              <w:t xml:space="preserve">If the service type outlet sub-contracts the provision of part or all of a service type (other than 2.06) they are funded to provide to another agency:</w:t>
            </w:r>
          </w:p>
          <w:p>
            <w:pPr>
              <w:pStyle w:val="ListParagraph"/>
              <w:numPr>
                <w:ilvl w:val="0"/>
                <w:numId w:val="6"/>
              </w:numPr>
            </w:pPr>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funded under the NDA)</w:t>
            </w:r>
          </w:p>
          <w:p>
            <w:pPr>
              <w:pStyle w:val="ListParagraph"/>
              <w:numPr>
                <w:ilvl w:val="0"/>
                <w:numId w:val="6"/>
              </w:numPr>
            </w:pPr>
            <w:r>
              <w:rPr>
                <w:rStyle w:val="row-content"/>
              </w:rP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6"/>
              </w:numPr>
            </w:pPr>
            <w:r>
              <w:rPr>
                <w:rStyle w:val="row-content"/>
              </w:rPr>
              <w:t xml:space="preserve">see also data items 17e–f ‘</w:t>
            </w:r>
            <w:hyperlink w:history="true" r:id="R6133dd7f953b43d2">
              <w:r>
                <w:rPr>
                  <w:rStyle w:val="Hyperlink"/>
                </w:rPr>
                <w:t xml:space="preserve">hours received</w:t>
              </w:r>
            </w:hyperlink>
            <w:r>
              <w:rPr>
                <w:rStyle w:val="row-content"/>
              </w:rPr>
              <w:t xml:space="preserve">’ per service user, as similar rules apply to the calculation of hours received by service users.</w:t>
            </w:r>
          </w:p>
          <w:p>
            <w:r>
              <w:br/>
            </w:r>
            <w:r>
              <w:br/>
            </w:r>
            <w:hyperlink w:history="true" r:id="Racd93c467bc6423b">
              <w:r>
                <w:rPr>
                  <w:rStyle w:val="Hyperlink"/>
                </w:rPr>
                <w:t xml:space="preserve">Disability Services NMDS 2016–17</w:t>
              </w:r>
            </w:hyperlink>
          </w:p>
          <w:p>
            <w:pPr>
              <w:spacing w:before="0" w:after="0"/>
            </w:pPr>
            <w:r>
              <w:rPr>
                <w:rStyle w:val="row-content"/>
                <w:color w:val="244061"/>
              </w:rPr>
              <w:t xml:space="preserve">       </w:t>
            </w:r>
            <w:hyperlink w:history="true" r:id="R3d3686eef7ff451e">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refers to hours worked by volunteer/unpaid staff refers to the actual total hours worked by staff, volunteers or students and others who do not receive payment for the work which they perform on behalf of the </w:t>
            </w:r>
            <w:hyperlink w:tooltip="A service type outlet is the unit of the funded agency that delivers a particular National Disability Agreement (NDA) service type at or from a discrete location." w:history="true" r:id="R907338c5720f41d7">
              <w:r>
                <w:rPr>
                  <w:rStyle w:val="Hyperlink"/>
                  <w:b/>
                </w:rPr>
                <w:t xml:space="preserve">service type outlet</w:t>
              </w:r>
            </w:hyperlink>
            <w:r>
              <w:rPr>
                <w:rStyle w:val="row-content"/>
              </w:rPr>
              <w:t xml:space="preserve">. It collects hours worked, not full-time equivalents or rostered weekly hours. It includes hours worked on behalf of the service type outlet both directly delivered to </w:t>
            </w:r>
            <w:hyperlink w:tooltip="A National Disability Agreement (NDA) service user is a person with a disability who received one or more NDA-funded services during the reporting period (e.g. the financial year)." w:history="true" r:id="R3d48392f07644e8a">
              <w:r>
                <w:rPr>
                  <w:rStyle w:val="Hyperlink"/>
                  <w:b/>
                </w:rPr>
                <w:t xml:space="preserve">service users</w:t>
              </w:r>
            </w:hyperlink>
            <w:r>
              <w:rPr>
                <w:rStyle w:val="row-content"/>
              </w:rPr>
              <w:t xml:space="preserve">, and indirectly to service users (e.g. indirect hours such as related committee meetings).</w:t>
            </w:r>
          </w:p>
          <w:p>
            <w:r>
              <w:rPr>
                <w:rStyle w:val="row-content"/>
              </w:rPr>
              <w:t xml:space="preserve">This data element is collected twice within the Disability Services National Minimum Data Set (DS NMDS):</w:t>
            </w:r>
          </w:p>
          <w:p>
            <w:pPr>
              <w:pStyle w:val="ListParagraph"/>
              <w:numPr>
                <w:ilvl w:val="0"/>
                <w:numId w:val="7"/>
              </w:numPr>
            </w:pPr>
            <w:r>
              <w:rPr>
                <w:rStyle w:val="row-content"/>
              </w:rPr>
              <w:t xml:space="preserve">the actual total hours worked by all volunteer/unpaid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7"/>
              </w:numPr>
            </w:pPr>
            <w:r>
              <w:rPr>
                <w:rStyle w:val="row-content"/>
              </w:rPr>
              <w:t xml:space="preserve">actual total hours worked by all volunteer/unpaid staff for a service type outlet for a </w:t>
            </w:r>
            <w:r>
              <w:rPr>
                <w:rStyle w:val="row-content"/>
                <w:b/>
              </w:rPr>
              <w:t xml:space="preserve">typical</w:t>
            </w:r>
            <w:r>
              <w:rPr>
                <w:rStyle w:val="row-content"/>
              </w:rPr>
              <w:t xml:space="preserve"> 7-day week.</w:t>
            </w:r>
          </w:p>
          <w:p>
            <w:r>
              <w:rPr>
                <w:rStyle w:val="row-content"/>
              </w:rPr>
              <w:t xml:space="preserve">Staff hours should be rounded up to the nearest whole hour.</w:t>
            </w:r>
          </w:p>
          <w:p>
            <w:r>
              <w:rPr>
                <w:rStyle w:val="row-content"/>
              </w:rPr>
              <w:t xml:space="preserve">Inclusions and exclusions for the calculation of unpaid/volunteer staff hours:</w:t>
            </w:r>
          </w:p>
          <w:p>
            <w:pPr>
              <w:pStyle w:val="ListParagraph"/>
              <w:numPr>
                <w:ilvl w:val="0"/>
                <w:numId w:val="8"/>
              </w:numPr>
            </w:pPr>
            <w:r>
              <w:rPr>
                <w:rStyle w:val="row-content"/>
              </w:rPr>
              <w:t xml:space="preserve">Includes:</w:t>
            </w:r>
            <w:r>
              <w:br/>
            </w:r>
            <w:r>
              <w:rPr>
                <w:rStyle w:val="row-content"/>
              </w:rPr>
              <w:t xml:space="preserve">        • staff hours worked as unpaid work by usually paid or contract staff</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w:t>
            </w:r>
          </w:p>
          <w:p>
            <w:pPr>
              <w:pStyle w:val="ListParagraph"/>
              <w:numPr>
                <w:ilvl w:val="0"/>
                <w:numId w:val="8"/>
              </w:numPr>
            </w:pPr>
            <w:r>
              <w:rPr>
                <w:rStyle w:val="row-content"/>
              </w:rPr>
              <w:t xml:space="preserve">Excludes:</w:t>
            </w:r>
            <w:r>
              <w:br/>
            </w:r>
            <w:r>
              <w:rPr>
                <w:rStyle w:val="row-content"/>
              </w:rPr>
              <w:t xml:space="preserve">        • staff hours worked while staff receive payment for sleepover duties</w:t>
            </w:r>
            <w:r>
              <w:br/>
            </w:r>
            <w:r>
              <w:rPr>
                <w:rStyle w:val="row-content"/>
              </w:rPr>
              <w:t xml:space="preserve">        • staff hours worked on committees or at meetings relevant to this service type</w:t>
            </w:r>
            <w:r>
              <w:br/>
            </w:r>
            <w:r>
              <w:rPr>
                <w:rStyle w:val="row-content"/>
              </w:rPr>
              <w:t xml:space="preserve">        • staff hours worked as paid overtime (to be included with paid staff hours)</w:t>
            </w:r>
            <w:r>
              <w:br/>
            </w:r>
            <w:r>
              <w:rPr>
                <w:rStyle w:val="row-content"/>
              </w:rPr>
              <w:t xml:space="preserve">        • staff hours for workers on leave (including public holidays, paid/unpaid sick leave, i.e. this data item relates to staff hours worked, not staff hours paid for)</w:t>
            </w:r>
            <w:r>
              <w:br/>
            </w:r>
            <w:r>
              <w:rPr>
                <w:rStyle w:val="row-content"/>
              </w:rPr>
              <w:t xml:space="preserve">        • staff hours normally worked in positions that are currently vacant staff hours allocated to non-National Disability Agreement (NDA) service users.</w:t>
            </w:r>
          </w:p>
          <w:p>
            <w:r>
              <w:rPr>
                <w:rStyle w:val="row-content"/>
              </w:rP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c180132d647b4421">
              <w:r>
                <w:rPr>
                  <w:rStyle w:val="Hyperlink"/>
                  <w:b/>
                </w:rPr>
                <w:t xml:space="preserve">funded agencies </w:t>
              </w:r>
            </w:hyperlink>
            <w:r>
              <w:rPr>
                <w:rStyle w:val="row-content"/>
              </w:rPr>
              <w:t xml:space="preserve">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9"/>
              </w:numPr>
            </w:pPr>
            <w:r>
              <w:rPr>
                <w:rStyle w:val="row-content"/>
              </w:rPr>
              <w:t xml:space="preserve">use fortnightly rosters as a starting point apportion total staff hours across funded service types</w:t>
            </w:r>
          </w:p>
          <w:p>
            <w:pPr>
              <w:pStyle w:val="ListParagraph"/>
              <w:numPr>
                <w:ilvl w:val="0"/>
                <w:numId w:val="9"/>
              </w:numPr>
            </w:pPr>
            <w:r>
              <w:rPr>
                <w:rStyle w:val="row-content"/>
              </w:rPr>
              <w:t xml:space="preserve">divide this figure by two to get weekly staff hours for the week preceding the end of the reporting period.</w:t>
            </w:r>
          </w:p>
          <w:p>
            <w:r>
              <w:rPr>
                <w:rStyle w:val="row-content"/>
              </w:rP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service type 2.06 </w:t>
            </w:r>
            <w:r>
              <w:rPr>
                <w:rStyle w:val="row-content"/>
                <w:i/>
              </w:rPr>
              <w:t xml:space="preserve">Case management, local coordination and development</w:t>
            </w:r>
            <w:r>
              <w:rPr>
                <w:rStyle w:val="row-content"/>
              </w:rPr>
              <w:t xml:space="preserve">, the following rules for calculating staff hours apply:</w:t>
            </w:r>
          </w:p>
          <w:p>
            <w:pPr>
              <w:pStyle w:val="ListParagraph"/>
              <w:numPr>
                <w:ilvl w:val="0"/>
                <w:numId w:val="10"/>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10"/>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10"/>
              </w:numPr>
            </w:pPr>
            <w:r>
              <w:rPr>
                <w:rStyle w:val="row-content"/>
              </w:rPr>
              <w:t xml:space="preserve">see also data items 17e–f ‘</w:t>
            </w:r>
            <w:hyperlink w:history="true" r:id="R8a42e7499f2e4702">
              <w:r>
                <w:rPr>
                  <w:rStyle w:val="Hyperlink"/>
                </w:rPr>
                <w:t xml:space="preserve">hours received</w:t>
              </w:r>
            </w:hyperlink>
            <w:r>
              <w:rPr>
                <w:rStyle w:val="row-content"/>
              </w:rPr>
              <w:t xml:space="preserve">’ per service user, as similar rules apply to the calculation of hours received by service users.</w:t>
            </w:r>
          </w:p>
          <w:p>
            <w:r>
              <w:rPr>
                <w:rStyle w:val="row-content"/>
              </w:rPr>
              <w:t xml:space="preserve">If the service type outlet sub-contracts the provision of part or all of a service type (other than 2.06) they are funded to provide to another agency:</w:t>
            </w:r>
          </w:p>
          <w:p>
            <w:pPr>
              <w:pStyle w:val="ListParagraph"/>
              <w:numPr>
                <w:ilvl w:val="0"/>
                <w:numId w:val="11"/>
              </w:numPr>
            </w:pPr>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funded under the NDA)</w:t>
            </w:r>
          </w:p>
          <w:p>
            <w:pPr>
              <w:pStyle w:val="ListParagraph"/>
              <w:numPr>
                <w:ilvl w:val="0"/>
                <w:numId w:val="11"/>
              </w:numPr>
            </w:pPr>
            <w:r>
              <w:rPr>
                <w:rStyle w:val="row-content"/>
              </w:rP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11"/>
              </w:numPr>
            </w:pPr>
            <w:r>
              <w:rPr>
                <w:rStyle w:val="row-content"/>
              </w:rPr>
              <w:t xml:space="preserve">see also data items 17e–f ‘</w:t>
            </w:r>
            <w:hyperlink w:history="true" r:id="R44fe90917f464de9">
              <w:r>
                <w:rPr>
                  <w:rStyle w:val="Hyperlink"/>
                </w:rPr>
                <w:t xml:space="preserve">hours received</w:t>
              </w:r>
            </w:hyperlink>
            <w:r>
              <w:rPr>
                <w:rStyle w:val="row-content"/>
              </w:rPr>
              <w:t xml:space="preserve">’ per service user, as similar rules apply to the calculation of hours received by service users.</w:t>
            </w:r>
          </w:p>
          <w:p>
            <w:r>
              <w:br/>
            </w:r>
            <w:r>
              <w:br/>
            </w:r>
            <w:hyperlink w:history="true" r:id="R3cbecc01402340db">
              <w:r>
                <w:rPr>
                  <w:rStyle w:val="Hyperlink"/>
                </w:rPr>
                <w:t xml:space="preserve">Disability services provider details cluster</w:t>
              </w:r>
            </w:hyperlink>
          </w:p>
          <w:p>
            <w:pPr>
              <w:spacing w:before="0" w:after="0"/>
            </w:pPr>
            <w:r>
              <w:rPr>
                <w:rStyle w:val="row-content"/>
                <w:color w:val="244061"/>
              </w:rPr>
              <w:t xml:space="preserve">       </w:t>
            </w:r>
            <w:hyperlink w:history="true" r:id="Rb7d0513f6108460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83dfa5add724597">
              <w:r>
                <w:rPr>
                  <w:rStyle w:val="Hyperlink"/>
                  <w:color w:val="244061"/>
                </w:rPr>
                <w:t xml:space="preserve">Disability</w:t>
              </w:r>
            </w:hyperlink>
            <w:r>
              <w:rPr>
                <w:rStyle w:val="row-content"/>
                <w:color w:val="244061"/>
              </w:rPr>
              <w:t xml:space="preserve">, Superseded 13/08/2015</w:t>
            </w:r>
          </w:p>
          <w:p>
            <w:r>
              <w:br/>
            </w:r>
            <w:hyperlink w:history="true" r:id="Re99df7f150be48a3">
              <w:r>
                <w:rPr>
                  <w:rStyle w:val="Hyperlink"/>
                </w:rPr>
                <w:t xml:space="preserve">Disability services provider details cluster</w:t>
              </w:r>
            </w:hyperlink>
          </w:p>
          <w:p>
            <w:pPr>
              <w:spacing w:before="0" w:after="0"/>
            </w:pPr>
            <w:r>
              <w:rPr>
                <w:rStyle w:val="row-content"/>
                <w:color w:val="244061"/>
              </w:rPr>
              <w:t xml:space="preserve">       </w:t>
            </w:r>
            <w:hyperlink w:history="true" r:id="R73dce2d30d5c4b0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3970bdbda5b4f71">
              <w:r>
                <w:rPr>
                  <w:rStyle w:val="Hyperlink"/>
                  <w:color w:val="244061"/>
                </w:rPr>
                <w:t xml:space="preserve">Disability</w:t>
              </w:r>
            </w:hyperlink>
            <w:r>
              <w:rPr>
                <w:rStyle w:val="row-content"/>
                <w:color w:val="244061"/>
              </w:rPr>
              <w:t xml:space="preserve">, Superseded 13/08/2015</w:t>
            </w:r>
          </w:p>
          <w:p>
            <w:r>
              <w:br/>
            </w:r>
            <w:hyperlink w:history="true" r:id="Rd930c0a846da4f95">
              <w:r>
                <w:rPr>
                  <w:rStyle w:val="Hyperlink"/>
                </w:rPr>
                <w:t xml:space="preserve">Disability services provider details cluster</w:t>
              </w:r>
            </w:hyperlink>
          </w:p>
          <w:p>
            <w:pPr>
              <w:spacing w:before="0" w:after="0"/>
            </w:pPr>
            <w:r>
              <w:rPr>
                <w:rStyle w:val="row-content"/>
                <w:color w:val="244061"/>
              </w:rPr>
              <w:t xml:space="preserve">       </w:t>
            </w:r>
            <w:hyperlink w:history="true" r:id="R5c08aa5c11364760">
              <w:r>
                <w:rPr>
                  <w:rStyle w:val="Hyperlink"/>
                  <w:color w:val="244061"/>
                </w:rPr>
                <w:t xml:space="preserve">Disability</w:t>
              </w:r>
            </w:hyperlink>
            <w:r>
              <w:rPr>
                <w:rStyle w:val="row-content"/>
                <w:color w:val="244061"/>
              </w:rPr>
              <w:t xml:space="preserve">, Standard 13/08/2015</w:t>
            </w:r>
          </w:p>
          <w:p>
            <w:r>
              <w:br/>
            </w:r>
            <w:hyperlink w:history="true" r:id="Rd05dc3ce69ea4a7e">
              <w:r>
                <w:rPr>
                  <w:rStyle w:val="Hyperlink"/>
                </w:rPr>
                <w:t xml:space="preserve">Disability services provider details cluster</w:t>
              </w:r>
            </w:hyperlink>
          </w:p>
          <w:p>
            <w:pPr>
              <w:spacing w:before="0" w:after="0"/>
            </w:pPr>
            <w:r>
              <w:rPr>
                <w:rStyle w:val="row-content"/>
                <w:color w:val="244061"/>
              </w:rPr>
              <w:t xml:space="preserve">       </w:t>
            </w:r>
            <w:hyperlink w:history="true" r:id="R915cc271494f47cc">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849ab3b9fe4043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497565</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f3f3c0c1c942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9ab3b9fe4043e4" /><Relationship Type="http://schemas.openxmlformats.org/officeDocument/2006/relationships/header" Target="/word/header1.xml" Id="R2a0996c50cb44ce8" /><Relationship Type="http://schemas.openxmlformats.org/officeDocument/2006/relationships/settings" Target="/word/settings.xml" Id="R94f85701135448aa" /><Relationship Type="http://schemas.openxmlformats.org/officeDocument/2006/relationships/styles" Target="/word/styles.xml" Id="R385a8b2ee5d54cda" /><Relationship Type="http://schemas.openxmlformats.org/officeDocument/2006/relationships/hyperlink" Target="https://meteor.aihw.gov.au/RegistrationAuthority/1" TargetMode="External" Id="R146184e05ea84eba" /><Relationship Type="http://schemas.openxmlformats.org/officeDocument/2006/relationships/hyperlink" Target="https://meteor.aihw.gov.au/RegistrationAuthority/16" TargetMode="External" Id="Rd1e75cb2eeb047e5" /><Relationship Type="http://schemas.openxmlformats.org/officeDocument/2006/relationships/hyperlink" Target="https://meteor.aihw.gov.au/content/327272" TargetMode="External" Id="R2026cbb4b0874cf5" /><Relationship Type="http://schemas.openxmlformats.org/officeDocument/2006/relationships/hyperlink" Target="https://meteor.aihw.gov.au/content/497561" TargetMode="External" Id="R0d56f292cb304f35" /><Relationship Type="http://schemas.openxmlformats.org/officeDocument/2006/relationships/hyperlink" Target="https://meteor.aihw.gov.au/content/270747" TargetMode="External" Id="R648070c58397496a" /><Relationship Type="http://schemas.openxmlformats.org/officeDocument/2006/relationships/hyperlink" Target="https://meteor.aihw.gov.au/content/680412" TargetMode="External" Id="Rd841458ab52445f4" /><Relationship Type="http://schemas.openxmlformats.org/officeDocument/2006/relationships/hyperlink" Target="https://meteor.aihw.gov.au/RegistrationAuthority/16" TargetMode="External" Id="R7b2aa7fadd6c44cb" /><Relationship Type="http://schemas.openxmlformats.org/officeDocument/2006/relationships/hyperlink" Target="https://meteor.aihw.gov.au/content/617391" TargetMode="External" Id="Rb0160bcaaae54e2b" /><Relationship Type="http://schemas.openxmlformats.org/officeDocument/2006/relationships/hyperlink" Target="https://meteor.aihw.gov.au/RegistrationAuthority/16" TargetMode="External" Id="R8c14d44d229f41df" /><Relationship Type="http://schemas.openxmlformats.org/officeDocument/2006/relationships/hyperlink" Target="https://meteor.aihw.gov.au/content/501973" TargetMode="External" Id="Rf27f2b82599248b5" /><Relationship Type="http://schemas.openxmlformats.org/officeDocument/2006/relationships/hyperlink" Target="https://meteor.aihw.gov.au/content/502689" TargetMode="External" Id="R2ce1c4bc0af6473b" /><Relationship Type="http://schemas.openxmlformats.org/officeDocument/2006/relationships/numbering" Target="/word/numbering.xml" Id="R332d104ad42747d9" /><Relationship Type="http://schemas.openxmlformats.org/officeDocument/2006/relationships/hyperlink" Target="https://meteor.aihw.gov.au/content/386548" TargetMode="External" Id="R62032f9568094416" /><Relationship Type="http://schemas.openxmlformats.org/officeDocument/2006/relationships/hyperlink" Target="https://meteor.aihw.gov.au/content/613272" TargetMode="External" Id="R92a6a5071afe4657" /><Relationship Type="http://schemas.openxmlformats.org/officeDocument/2006/relationships/hyperlink" Target="https://meteor.aihw.gov.au/content/323093" TargetMode="External" Id="R08499a044c2c42cb" /><Relationship Type="http://schemas.openxmlformats.org/officeDocument/2006/relationships/hyperlink" Target="https://meteor.aihw.gov.au/content/323093" TargetMode="External" Id="R6133dd7f953b43d2" /><Relationship Type="http://schemas.openxmlformats.org/officeDocument/2006/relationships/hyperlink" Target="https://meteor.aihw.gov.au/content/637867" TargetMode="External" Id="Racd93c467bc6423b" /><Relationship Type="http://schemas.openxmlformats.org/officeDocument/2006/relationships/hyperlink" Target="https://meteor.aihw.gov.au/RegistrationAuthority/16" TargetMode="External" Id="R3d3686eef7ff451e" /><Relationship Type="http://schemas.openxmlformats.org/officeDocument/2006/relationships/hyperlink" Target="https://meteor.aihw.gov.au/content/501973" TargetMode="External" Id="R907338c5720f41d7" /><Relationship Type="http://schemas.openxmlformats.org/officeDocument/2006/relationships/hyperlink" Target="https://meteor.aihw.gov.au/content/502689" TargetMode="External" Id="R3d48392f07644e8a" /><Relationship Type="http://schemas.openxmlformats.org/officeDocument/2006/relationships/hyperlink" Target="https://meteor.aihw.gov.au/content/386548" TargetMode="External" Id="Rc180132d647b4421" /><Relationship Type="http://schemas.openxmlformats.org/officeDocument/2006/relationships/hyperlink" Target="https://meteor.aihw.gov.au/content/323093" TargetMode="External" Id="R8a42e7499f2e4702" /><Relationship Type="http://schemas.openxmlformats.org/officeDocument/2006/relationships/hyperlink" Target="https://meteor.aihw.gov.au/content/323093" TargetMode="External" Id="R44fe90917f464de9" /><Relationship Type="http://schemas.openxmlformats.org/officeDocument/2006/relationships/hyperlink" Target="https://meteor.aihw.gov.au/content/484554" TargetMode="External" Id="R3cbecc01402340db" /><Relationship Type="http://schemas.openxmlformats.org/officeDocument/2006/relationships/hyperlink" Target="https://meteor.aihw.gov.au/RegistrationAuthority/1" TargetMode="External" Id="Rb7d0513f61084604" /><Relationship Type="http://schemas.openxmlformats.org/officeDocument/2006/relationships/hyperlink" Target="https://meteor.aihw.gov.au/RegistrationAuthority/16" TargetMode="External" Id="R483dfa5add724597" /><Relationship Type="http://schemas.openxmlformats.org/officeDocument/2006/relationships/hyperlink" Target="https://meteor.aihw.gov.au/content/484554" TargetMode="External" Id="Re99df7f150be48a3" /><Relationship Type="http://schemas.openxmlformats.org/officeDocument/2006/relationships/hyperlink" Target="https://meteor.aihw.gov.au/RegistrationAuthority/1" TargetMode="External" Id="R73dce2d30d5c4b07" /><Relationship Type="http://schemas.openxmlformats.org/officeDocument/2006/relationships/hyperlink" Target="https://meteor.aihw.gov.au/RegistrationAuthority/16" TargetMode="External" Id="R23970bdbda5b4f71" /><Relationship Type="http://schemas.openxmlformats.org/officeDocument/2006/relationships/hyperlink" Target="https://meteor.aihw.gov.au/content/617065" TargetMode="External" Id="Rd930c0a846da4f95" /><Relationship Type="http://schemas.openxmlformats.org/officeDocument/2006/relationships/hyperlink" Target="https://meteor.aihw.gov.au/RegistrationAuthority/16" TargetMode="External" Id="R5c08aa5c11364760" /><Relationship Type="http://schemas.openxmlformats.org/officeDocument/2006/relationships/hyperlink" Target="https://meteor.aihw.gov.au/content/617065" TargetMode="External" Id="Rd05dc3ce69ea4a7e" /><Relationship Type="http://schemas.openxmlformats.org/officeDocument/2006/relationships/hyperlink" Target="https://meteor.aihw.gov.au/RegistrationAuthority/16" TargetMode="External" Id="R915cc271494f47cc" /></Relationships>
</file>

<file path=word/_rels/header1.xml.rels>&#65279;<?xml version="1.0" encoding="utf-8"?><Relationships xmlns="http://schemas.openxmlformats.org/package/2006/relationships"><Relationship Type="http://schemas.openxmlformats.org/officeDocument/2006/relationships/image" Target="/media/image.png" Id="R72f3f3c0c1c9420a" /></Relationships>
</file>