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0845fffa0b4c5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08-Major causes of death,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1b4d69cb2b415e">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fbe9c4154ff40d4">
              <w:r>
                <w:rPr>
                  <w:rStyle w:val="Hyperlink"/>
                </w:rPr>
                <w:t xml:space="preserve">National Healthcare Agreement (2013)</w:t>
              </w:r>
            </w:hyperlink>
          </w:p>
          <w:p>
            <w:pPr>
              <w:spacing w:before="0" w:after="0"/>
            </w:pPr>
            <w:r>
              <w:rPr>
                <w:rStyle w:val="row-content"/>
                <w:color w:val="244061"/>
              </w:rPr>
              <w:t xml:space="preserve">       </w:t>
            </w:r>
            <w:hyperlink w:history="true" r:id="R8f584a9929a3417c">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1de25693e714c8e">
              <w:r>
                <w:rPr>
                  <w:rStyle w:val="Hyperlink"/>
                </w:rPr>
                <w:t xml:space="preserve">Social Inclusion and Indigenous Health</w:t>
              </w:r>
            </w:hyperlink>
          </w:p>
          <w:p>
            <w:pPr>
              <w:spacing w:before="0" w:after="0"/>
            </w:pPr>
            <w:r>
              <w:rPr>
                <w:rStyle w:val="row-content"/>
                <w:color w:val="244061"/>
              </w:rPr>
              <w:t xml:space="preserve">       </w:t>
            </w:r>
            <w:hyperlink w:history="true" r:id="R5cb6a680ce5649e9">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0d51fdb043bc4a87">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df81334a39e4449">
              <w:r>
                <w:rPr>
                  <w:rStyle w:val="Hyperlink"/>
                </w:rPr>
                <w:t xml:space="preserve">National Healthcare Agreement: PI 08-Major causes of death, 2013 QS</w:t>
              </w:r>
            </w:hyperlink>
          </w:p>
          <w:p>
            <w:pPr>
              <w:spacing w:before="0" w:after="0"/>
            </w:pPr>
            <w:r>
              <w:rPr>
                <w:rStyle w:val="row-content"/>
                <w:color w:val="244061"/>
              </w:rPr>
              <w:t xml:space="preserve">       </w:t>
            </w:r>
            <w:hyperlink w:history="true" r:id="Ra883a729d27f436e">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International Classification of Diseases (ICD-10) chapter for underlying cause of death plus major causes of:</w:t>
            </w:r>
          </w:p>
          <w:p>
            <w:pPr>
              <w:pStyle w:val="ListParagraph"/>
              <w:numPr>
                <w:ilvl w:val="0"/>
                <w:numId w:val="2"/>
              </w:numPr>
            </w:pPr>
            <w:r>
              <w:rPr>
                <w:rStyle w:val="row-content-rich-text"/>
              </w:rPr>
              <w:t xml:space="preserve">Circulatory diseases (I00-I99) </w:t>
            </w:r>
          </w:p>
          <w:p>
            <w:pPr>
              <w:pStyle w:val="ListParagraph"/>
              <w:numPr>
                <w:ilvl w:val="0"/>
                <w:numId w:val="2"/>
              </w:numPr>
            </w:pPr>
            <w:r>
              <w:rPr>
                <w:rStyle w:val="row-content-rich-text"/>
              </w:rPr>
              <w:t xml:space="preserve">Neoplasms (cancer) (C00-D48) </w:t>
            </w:r>
          </w:p>
          <w:p>
            <w:pPr>
              <w:pStyle w:val="ListParagraph"/>
              <w:numPr>
                <w:ilvl w:val="0"/>
                <w:numId w:val="2"/>
              </w:numPr>
            </w:pPr>
            <w:r>
              <w:rPr>
                <w:rStyle w:val="row-content-rich-text"/>
              </w:rPr>
              <w:t xml:space="preserve">External causes of morbidity and mortality (V01-Y98) </w:t>
            </w:r>
          </w:p>
          <w:p>
            <w:pPr>
              <w:pStyle w:val="ListParagraph"/>
              <w:numPr>
                <w:ilvl w:val="0"/>
                <w:numId w:val="2"/>
              </w:numPr>
            </w:pPr>
            <w:r>
              <w:rPr>
                <w:rStyle w:val="row-content-rich-text"/>
              </w:rPr>
              <w:t xml:space="preserve">Endocrine, metabolic and nutritional disorders (E00-E90) </w:t>
            </w:r>
          </w:p>
          <w:p>
            <w:pPr>
              <w:pStyle w:val="ListParagraph"/>
              <w:numPr>
                <w:ilvl w:val="0"/>
                <w:numId w:val="2"/>
              </w:numPr>
            </w:pPr>
            <w:r>
              <w:rPr>
                <w:rStyle w:val="row-content-rich-text"/>
              </w:rPr>
              <w:t xml:space="preserve">Respiratory diseases (J00-J99) </w:t>
            </w:r>
          </w:p>
          <w:p>
            <w:pPr>
              <w:pStyle w:val="ListParagraph"/>
              <w:numPr>
                <w:ilvl w:val="0"/>
                <w:numId w:val="2"/>
              </w:numPr>
            </w:pPr>
            <w:r>
              <w:rPr>
                <w:rStyle w:val="row-content-rich-text"/>
              </w:rPr>
              <w:t xml:space="preserve">Digestive diseases (K00-K93) </w:t>
            </w:r>
          </w:p>
          <w:p>
            <w:pPr>
              <w:pStyle w:val="ListParagraph"/>
              <w:numPr>
                <w:ilvl w:val="0"/>
                <w:numId w:val="2"/>
              </w:numPr>
            </w:pPr>
            <w:r>
              <w:rPr>
                <w:rStyle w:val="row-content-rich-text"/>
              </w:rPr>
              <w:t xml:space="preserve">Kidney diseases (N00-N29) </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Infectious and parasitic diseases (A00-B99) </w:t>
            </w:r>
          </w:p>
          <w:p>
            <w:pPr>
              <w:pStyle w:val="ListParagraph"/>
              <w:numPr>
                <w:ilvl w:val="0"/>
                <w:numId w:val="2"/>
              </w:numPr>
            </w:pPr>
            <w:r>
              <w:rPr>
                <w:rStyle w:val="row-content-rich-text"/>
              </w:rPr>
              <w:t xml:space="preserve">Nervous system diseases (G00-G99) </w:t>
            </w:r>
          </w:p>
          <w:p>
            <w:pPr>
              <w:pStyle w:val="ListParagraph"/>
              <w:numPr>
                <w:ilvl w:val="0"/>
                <w:numId w:val="2"/>
              </w:numPr>
            </w:pPr>
            <w:r>
              <w:rPr>
                <w:rStyle w:val="row-content-rich-text"/>
              </w:rPr>
              <w:t xml:space="preserve">Other causes </w:t>
            </w:r>
          </w:p>
          <w:p>
            <w:pPr>
              <w:pStyle w:val="ListParagraph"/>
              <w:numPr>
                <w:ilvl w:val="0"/>
                <w:numId w:val="2"/>
              </w:numPr>
            </w:pPr>
            <w:r>
              <w:rPr>
                <w:rStyle w:val="row-content-rich-text"/>
              </w:rPr>
              <w:t xml:space="preserve">All causes </w:t>
            </w:r>
          </w:p>
          <w:p>
            <w:pPr>
              <w:spacing w:after="160"/>
            </w:pPr>
            <w:r>
              <w:rPr>
                <w:rStyle w:val="row-content-rich-text"/>
              </w:rPr>
              <w:t xml:space="preserve">Rates are directly age-standardised to the 2001 Australian population.</w:t>
            </w:r>
          </w:p>
          <w:p>
            <w:pPr>
              <w:spacing w:after="160"/>
            </w:pPr>
            <w:r>
              <w:rPr>
                <w:rStyle w:val="row-content-rich-text"/>
              </w:rPr>
              <w:t xml:space="preserve">Variability bands are to be calculated for single-year rates using the method below.</w:t>
            </w:r>
          </w:p>
          <w:p>
            <w:pPr/>
            <w:r>
              <w:rPr>
                <w:rStyle w:val="row-content-rich-text"/>
              </w:rPr>
              <w:t xml:space="preserve">Presented per 100,000 population. Rate ratio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pPr>
              <w:spacing w:after="160"/>
            </w:pPr>
            <w:r>
              <w:rPr>
                <w:rStyle w:val="row-content-rich-text"/>
              </w:rPr>
              <w:t xml:space="preserve"> </w:t>
            </w:r>
          </w:p>
          <w:p>
            <w:hyperlink w:history="true" r:id="Re95e9d6af7e34866">
              <w:r>
                <w:drawing>
                  <wp:inline xmlns:wp="http://schemas.openxmlformats.org/drawingml/2006/wordprocessingDrawing" distT="0" distB="0" distL="0" distR="0">
                    <wp:extent cx="3867150" cy="1162050"/>
                    <wp:effectExtent l="19050" t="0" r="0" b="0"/>
                    <wp:docPr id="2" name="Picture 2" descr="">
                      <a:hlinkClick xmlns:a="http://schemas.openxmlformats.org/drawingml/2006/main" r:id="Re95e9d6af7e34866"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34a293f112e4d58"/>
                            <a:srcRect/>
                            <a:stretch>
                              <a:fillRect/>
                            </a:stretch>
                          </pic:blipFill>
                          <pic:spPr bwMode="auto">
                            <a:xfrm>
                              <a:off x="0" y="0"/>
                              <a:ext cx="3867150" cy="1162050"/>
                            </a:xfrm>
                            <a:prstGeom prst="rect">
                              <a:avLst/>
                            </a:prstGeom>
                          </pic:spPr>
                        </pic:pic>
                      </a:graphicData>
                    </a:graphic>
                  </wp:inline>
                </w:drawing>
              </w:r>
            </w:hyperlink>
          </w:p>
          <w:p>
            <w:pPr>
              <w:spacing w:after="160"/>
            </w:pPr>
            <w:r>
              <w:rPr>
                <w:rStyle w:val="row-content-rich-text"/>
              </w:rPr>
              <w:t xml:space="preserve"> </w:t>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 the proportion of the standard population in age group</w:t>
            </w:r>
            <w:r>
              <w:rPr>
                <w:rStyle w:val="row-content-rich-text"/>
                <w:i/>
              </w:rPr>
              <w:t xml:space="preserve"> i</w:t>
            </w:r>
          </w:p>
          <w:p>
            <w:pPr>
              <w:spacing w:after="160"/>
            </w:pPr>
            <w:r>
              <w:rPr>
                <w:rStyle w:val="row-content-rich-text"/>
                <w:i/>
              </w:rPr>
              <w:t xml:space="preserve">d</w:t>
            </w:r>
            <w:r>
              <w:rPr>
                <w:rStyle w:val="row-content-rich-text"/>
                <w:i/>
                <w:vertAlign w:val="subscript"/>
              </w:rPr>
              <w:t xml:space="preserve">i</w:t>
            </w:r>
            <w:r>
              <w:rPr>
                <w:rStyle w:val="row-content-rich-text"/>
              </w:rPr>
              <w:t xml:space="preserve"> = the number of deaths in age group</w:t>
            </w:r>
            <w:r>
              <w:rPr>
                <w:rStyle w:val="row-content-rich-text"/>
                <w:i/>
              </w:rPr>
              <w:t xml:space="preserve"> i</w:t>
            </w:r>
          </w:p>
          <w:p>
            <w:pPr/>
            <w:r>
              <w:rPr>
                <w:rStyle w:val="row-content-rich-text"/>
                <w:i/>
              </w:rPr>
              <w:t xml:space="preserve">n</w:t>
            </w:r>
            <w:r>
              <w:rPr>
                <w:rStyle w:val="row-content-rich-text"/>
                <w:i/>
                <w:vertAlign w:val="subscript"/>
              </w:rPr>
              <w:t xml:space="preserve">i</w:t>
            </w:r>
            <w:r>
              <w:rPr>
                <w:rStyle w:val="row-content-rich-text"/>
              </w:rPr>
              <w:t xml:space="preserve"> = the number of people in the population in age group</w:t>
            </w:r>
            <w:r>
              <w:rPr>
                <w:rStyle w:val="row-content-rich-text"/>
                <w:i/>
              </w:rPr>
              <w:t xml:space="preserv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82f0589af124b85">
              <w:r>
                <w:rPr>
                  <w:rStyle w:val="Hyperlink"/>
                </w:rPr>
                <w:t xml:space="preserve">Person—underlying cause of death, code (ICD-10 2nd edn) ANN-ANN</w:t>
              </w:r>
            </w:hyperlink>
          </w:p>
          <w:p>
            <w:r>
              <w:rPr>
                <w:rStyle w:val="row-content"/>
                <w:b/>
              </w:rPr>
              <w:t xml:space="preserve">Data Source</w:t>
            </w:r>
          </w:p>
          <w:p>
            <w:hyperlink w:history="true" r:id="R0e0748576cd844e7">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d70b9718e5f9411a">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b9f8a40f994a4c9f">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(revised WA and national Indigenous deaths data), 2008 and 2009 (updated for revision to ABS cause of death data, revised WA and national Indigenous deaths data), 2010 (updated for revisions to ABS cause of death data) and 2011 — State and territory (total deaths).</w:t>
            </w:r>
          </w:p>
          <w:p>
            <w:pPr>
              <w:spacing w:after="160"/>
            </w:pPr>
            <w:r>
              <w:rPr>
                <w:rStyle w:val="row-content-rich-text"/>
              </w:rPr>
              <w:t xml:space="preserve">2007 (revised WA and national Indigenous deaths data), 2008, 2009 (updated for revision to ABS cause of death data, revised WA and national Indigenous deaths data), and 2010 — State and territory, by ICD-10 chapter for underlying cause of death (and total).</w:t>
            </w:r>
          </w:p>
          <w:p>
            <w:pPr>
              <w:spacing w:after="160"/>
            </w:pPr>
            <w:r>
              <w:rPr>
                <w:rStyle w:val="row-content-rich-text"/>
              </w:rPr>
              <w:t xml:space="preserve">2006-2010 — State and territory, by major cause of death (and total) by Indigenous status.</w:t>
            </w:r>
          </w:p>
          <w:p>
            <w:pPr/>
            <w:r>
              <w:rPr>
                <w:rStyle w:val="row-content-rich-text"/>
              </w:rPr>
              <w:t xml:space="preserve">Some disaggregation may result in numbers too small for publication. Disaggregation by Indigenous status will be based on data only from jurisdictions for which the quality of Indigenous identification is considered acceptable—NSW, Qld, SA, WA and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388f5781e241d0">
              <w:r>
                <w:rPr>
                  <w:rStyle w:val="Hyperlink"/>
                </w:rPr>
                <w:t xml:space="preserve">Person—Indigenous status, code N</w:t>
              </w:r>
            </w:hyperlink>
          </w:p>
          <w:p>
            <w:r>
              <w:rPr>
                <w:rStyle w:val="row-content"/>
                <w:b/>
              </w:rPr>
              <w:t xml:space="preserve">Data Source</w:t>
            </w:r>
          </w:p>
          <w:p>
            <w:hyperlink w:history="true" r:id="R9a38722fe93847c8">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ee97fb0fb35427f">
              <w:r>
                <w:rPr>
                  <w:rStyle w:val="Hyperlink"/>
                </w:rPr>
                <w:t xml:space="preserve">Person—underlying cause of death, code (ICD-10 2nd edn) ANN-ANN</w:t>
              </w:r>
            </w:hyperlink>
          </w:p>
          <w:p>
            <w:r>
              <w:rPr>
                <w:rStyle w:val="row-content"/>
                <w:b/>
              </w:rPr>
              <w:t xml:space="preserve">Data Source</w:t>
            </w:r>
          </w:p>
          <w:p>
            <w:hyperlink w:history="true" r:id="Rbd154811d9564b22">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be6b9d352284a76">
              <w:r>
                <w:rPr>
                  <w:rStyle w:val="Hyperlink"/>
                </w:rPr>
                <w:t xml:space="preserve">Person—area of usual residence, geographical location code (ASGC 2009) NNNNN</w:t>
              </w:r>
            </w:hyperlink>
          </w:p>
          <w:p>
            <w:r>
              <w:rPr>
                <w:rStyle w:val="row-content"/>
                <w:b/>
              </w:rPr>
              <w:t xml:space="preserve">Data Source</w:t>
            </w:r>
          </w:p>
          <w:p>
            <w:hyperlink w:history="true" r:id="R7f910788dcdd4112">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w:t>
            </w:r>
          </w:p>
          <w:p>
            <w:pPr>
              <w:pStyle w:val="ListParagraph"/>
              <w:numPr>
                <w:ilvl w:val="0"/>
                <w:numId w:val="3"/>
              </w:numPr>
            </w:pPr>
            <w:r>
              <w:rPr>
                <w:rStyle w:val="row-content-rich-text"/>
              </w:rPr>
              <w:t xml:space="preserve">2011 (total deaths)</w:t>
            </w:r>
          </w:p>
          <w:p>
            <w:pPr>
              <w:pStyle w:val="ListParagraph"/>
              <w:numPr>
                <w:ilvl w:val="0"/>
                <w:numId w:val="3"/>
              </w:numPr>
            </w:pPr>
            <w:r>
              <w:rPr>
                <w:rStyle w:val="row-content-rich-text"/>
              </w:rPr>
              <w:t xml:space="preserve">2010 (cause of death)</w:t>
            </w:r>
          </w:p>
          <w:p>
            <w:pPr>
              <w:pStyle w:val="ListParagraph"/>
              <w:numPr>
                <w:ilvl w:val="0"/>
                <w:numId w:val="3"/>
              </w:numPr>
            </w:pPr>
            <w:r>
              <w:rPr>
                <w:rStyle w:val="row-content-rich-text"/>
              </w:rPr>
              <w:t xml:space="preserve">Aggregated data 2006-2010 (Indigenous status)</w:t>
            </w:r>
          </w:p>
          <w:p>
            <w:pPr>
              <w:spacing w:after="160"/>
            </w:pPr>
            <w:r>
              <w:rPr>
                <w:rStyle w:val="row-content-rich-text"/>
              </w:rPr>
              <w:t xml:space="preserve">Cause of death data are final (2007, 2008), revised (2009) and preliminary (2010).</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CRC reports. These data have been revised for 2013 reporting.</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small number of Indigenous deaths reported each year, 5 year combined data will be reported for the current reporting period.</w:t>
            </w:r>
          </w:p>
          <w:p>
            <w:pPr>
              <w:spacing w:after="160"/>
            </w:pPr>
            <w:r>
              <w:rPr>
                <w:rStyle w:val="row-content-rich-text"/>
              </w:rPr>
              <w:t xml:space="preserve">Data by remoteness and Socio-Economic Indexes for Areas (SEIFA) Index of Relative Socio-Economic Disadvantage (IRSD) may be available, pending assessment of data quality.</w:t>
            </w:r>
          </w:p>
          <w:p>
            <w:pPr>
              <w:spacing w:after="160"/>
            </w:pPr>
            <w:r>
              <w:rPr>
                <w:rStyle w:val="row-content-rich-text"/>
              </w:rPr>
              <w:t xml:space="preserve">Further details (including data for 2002–06) are available from the Aboriginal and Torres Strait Islander Health Performance Framework (Indicator 1.22 and 1.23).</w:t>
            </w:r>
          </w:p>
          <w:p>
            <w:pPr>
              <w:spacing w:after="160"/>
            </w:pPr>
            <w:r>
              <w:rPr>
                <w:rStyle w:val="row-content-rich-text"/>
              </w:rPr>
              <w:t xml:space="preserve">&lt;</w:t>
            </w:r>
            <w:hyperlink w:history="true" r:id="Rc91d8f13f6f04c04">
              <w:r>
                <w:rPr>
                  <w:rStyle w:val="Hyperlink"/>
                </w:rPr>
                <w:t xml:space="preserve">http://www.aihw.gov.au/publications/ihw/aatsihpf08r-da/atsihpf08r-c01-22.pdf</w:t>
              </w:r>
            </w:hyperlink>
            <w:r>
              <w:rPr>
                <w:rStyle w:val="row-content-rich-text"/>
              </w:rPr>
              <w:t xml:space="preserve">&gt;</w:t>
            </w:r>
          </w:p>
          <w:p>
            <w:pPr>
              <w:spacing w:after="160"/>
            </w:pPr>
            <w:r>
              <w:rPr>
                <w:rStyle w:val="row-content-rich-text"/>
              </w:rPr>
              <w:t xml:space="preserve">&lt;</w:t>
            </w:r>
            <w:hyperlink w:history="true" r:id="R2da73646f5404da9">
              <w:r>
                <w:rPr>
                  <w:rStyle w:val="Hyperlink"/>
                </w:rPr>
                <w:t xml:space="preserve">http://www.aihw.gov.au/publications/ihw/aatsihpf08r-da/atsihpf08r-c01-23.pdf</w:t>
              </w:r>
            </w:hyperlink>
            <w:r>
              <w:rPr>
                <w:rStyle w:val="row-content-rich-text"/>
              </w:rPr>
              <w:t xml:space="preserve">&gt;</w:t>
            </w:r>
          </w:p>
          <w:p>
            <w:pPr/>
            <w:r>
              <w:rPr>
                <w:rStyle w:val="row-content-rich-text"/>
              </w:rPr>
              <w:t xml:space="preserve">For further detailed analysis by Indigenous status, see the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14c5a772c8042fe">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697b38ea6dc42a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7e13488e196a4d0e">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0e7d64104d2422f">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b749890b86eb43eb">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7f108d6096844ce">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5fc47f02ff2147a8">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6a0a8831184f64">
              <w:r>
                <w:rPr>
                  <w:rStyle w:val="Hyperlink"/>
                </w:rPr>
                <w:t xml:space="preserve">National Healthcare Agreement: PI 59-Age-standardised mortality by major cause of death, 2012</w:t>
              </w:r>
            </w:hyperlink>
          </w:p>
          <w:p>
            <w:pPr>
              <w:spacing w:before="0" w:after="0"/>
            </w:pPr>
            <w:r>
              <w:rPr>
                <w:rStyle w:val="row-content"/>
                <w:color w:val="244061"/>
              </w:rPr>
              <w:t xml:space="preserve">       </w:t>
            </w:r>
            <w:hyperlink w:history="true" r:id="R1b2552aa2fc04abc">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b09f6a3ee09d43ee">
              <w:r>
                <w:rPr>
                  <w:rStyle w:val="Hyperlink"/>
                </w:rPr>
                <w:t xml:space="preserve">National Healthcare Agreement: PI 08-Major causes of death, 2014</w:t>
              </w:r>
            </w:hyperlink>
          </w:p>
          <w:p>
            <w:pPr>
              <w:spacing w:before="0" w:after="0"/>
            </w:pPr>
            <w:r>
              <w:rPr>
                <w:rStyle w:val="row-content"/>
                <w:color w:val="244061"/>
              </w:rPr>
              <w:t xml:space="preserve">       </w:t>
            </w:r>
            <w:hyperlink w:history="true" r:id="R7bb664fb322341b5">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3a825087b0374397">
              <w:r>
                <w:rPr>
                  <w:rStyle w:val="Hyperlink"/>
                </w:rPr>
                <w:t xml:space="preserve">National Healthcare Agreement: PI 06-Life expectancy, 2013</w:t>
              </w:r>
            </w:hyperlink>
          </w:p>
          <w:p>
            <w:pPr>
              <w:spacing w:before="0" w:after="0"/>
            </w:pPr>
            <w:r>
              <w:rPr>
                <w:rStyle w:val="row-content"/>
                <w:color w:val="244061"/>
              </w:rPr>
              <w:t xml:space="preserve">       </w:t>
            </w:r>
            <w:hyperlink w:history="true" r:id="R1370e6947b974e03">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0e60b9196fdd443a">
              <w:r>
                <w:rPr>
                  <w:rStyle w:val="Hyperlink"/>
                </w:rPr>
                <w:t xml:space="preserve">National Healthcare Agreement: PI 07-Infant and young child mortality rate, 2013</w:t>
              </w:r>
            </w:hyperlink>
          </w:p>
          <w:p>
            <w:pPr>
              <w:spacing w:before="0" w:after="0"/>
            </w:pPr>
            <w:r>
              <w:rPr>
                <w:rStyle w:val="row-content"/>
                <w:color w:val="244061"/>
              </w:rPr>
              <w:t xml:space="preserve">       </w:t>
            </w:r>
            <w:hyperlink w:history="true" r:id="R7ea744840e9c4a33">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813085d74c314cf7">
              <w:r>
                <w:rPr>
                  <w:rStyle w:val="Hyperlink"/>
                </w:rPr>
                <w:t xml:space="preserve">National Healthcare Agreement: PI 16-Potentially avoidable deaths, 2013</w:t>
              </w:r>
            </w:hyperlink>
          </w:p>
          <w:p>
            <w:pPr>
              <w:spacing w:before="0" w:after="0"/>
            </w:pPr>
            <w:r>
              <w:rPr>
                <w:rStyle w:val="row-content"/>
                <w:color w:val="244061"/>
              </w:rPr>
              <w:t xml:space="preserve">       </w:t>
            </w:r>
            <w:hyperlink w:history="true" r:id="R571f576da01c4164">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64d8ca45e2db42e5">
              <w:r>
                <w:rPr>
                  <w:rStyle w:val="Hyperlink"/>
                </w:rPr>
                <w:t xml:space="preserve">National Indigenous Reform Agreement: PI 02-Mortality rate (and excess deaths) by leading causes, 2011</w:t>
              </w:r>
            </w:hyperlink>
          </w:p>
          <w:p>
            <w:pPr>
              <w:spacing w:before="0" w:after="0"/>
            </w:pPr>
            <w:r>
              <w:rPr>
                <w:rStyle w:val="row-content"/>
                <w:color w:val="244061"/>
              </w:rPr>
              <w:t xml:space="preserve">       </w:t>
            </w:r>
            <w:hyperlink w:history="true" r:id="R5baa16c379284f55">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5b28af9dac0342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497524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772a78f3a742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28af9dac034203" /><Relationship Type="http://schemas.openxmlformats.org/officeDocument/2006/relationships/header" Target="/word/header1.xml" Id="Rae2e5a6c966041ac" /><Relationship Type="http://schemas.openxmlformats.org/officeDocument/2006/relationships/settings" Target="/word/settings.xml" Id="R6cffc25bb0ab4b30" /><Relationship Type="http://schemas.openxmlformats.org/officeDocument/2006/relationships/styles" Target="/word/styles.xml" Id="R4557c6be25484ad0" /><Relationship Type="http://schemas.openxmlformats.org/officeDocument/2006/relationships/hyperlink" Target="https://meteor.aihw.gov.au/RegistrationAuthority/12" TargetMode="External" Id="R5b1b4d69cb2b415e" /><Relationship Type="http://schemas.openxmlformats.org/officeDocument/2006/relationships/hyperlink" Target="https://meteor.aihw.gov.au/content/496807" TargetMode="External" Id="Rbfbe9c4154ff40d4" /><Relationship Type="http://schemas.openxmlformats.org/officeDocument/2006/relationships/hyperlink" Target="https://meteor.aihw.gov.au/RegistrationAuthority/12" TargetMode="External" Id="R8f584a9929a3417c" /><Relationship Type="http://schemas.openxmlformats.org/officeDocument/2006/relationships/hyperlink" Target="https://meteor.aihw.gov.au/content/393493" TargetMode="External" Id="Re1de25693e714c8e" /><Relationship Type="http://schemas.openxmlformats.org/officeDocument/2006/relationships/hyperlink" Target="https://meteor.aihw.gov.au/RegistrationAuthority/12" TargetMode="External" Id="R5cb6a680ce5649e9" /><Relationship Type="http://schemas.openxmlformats.org/officeDocument/2006/relationships/hyperlink" Target="https://meteor.aihw.gov.au/RegistrationAuthority/6" TargetMode="External" Id="R0d51fdb043bc4a87" /><Relationship Type="http://schemas.openxmlformats.org/officeDocument/2006/relationships/hyperlink" Target="https://meteor.aihw.gov.au/content/511924" TargetMode="External" Id="Rcdf81334a39e4449" /><Relationship Type="http://schemas.openxmlformats.org/officeDocument/2006/relationships/hyperlink" Target="https://meteor.aihw.gov.au/RegistrationAuthority/12" TargetMode="External" Id="Ra883a729d27f436e" /><Relationship Type="http://schemas.openxmlformats.org/officeDocument/2006/relationships/numbering" Target="/word/numbering.xml" Id="R88e5ef0026794027" /><Relationship Type="http://schemas.openxmlformats.org/officeDocument/2006/relationships/hyperlink" Target="https://meteor.aihw.gov.au/content/623979" TargetMode="External" Id="Re95e9d6af7e34866" /><Relationship Type="http://schemas.openxmlformats.org/officeDocument/2006/relationships/image" Target="/media/image.jpg" Id="Re34a293f112e4d58" /><Relationship Type="http://schemas.openxmlformats.org/officeDocument/2006/relationships/hyperlink" Target="https://meteor.aihw.gov.au/content/307931" TargetMode="External" Id="R082f0589af124b85" /><Relationship Type="http://schemas.openxmlformats.org/officeDocument/2006/relationships/hyperlink" Target="https://meteor.aihw.gov.au/content/394490" TargetMode="External" Id="R0e0748576cd844e7" /><Relationship Type="http://schemas.openxmlformats.org/officeDocument/2006/relationships/hyperlink" Target="https://meteor.aihw.gov.au/content/393625" TargetMode="External" Id="Rd70b9718e5f9411a" /><Relationship Type="http://schemas.openxmlformats.org/officeDocument/2006/relationships/hyperlink" Target="https://meteor.aihw.gov.au/content/394092" TargetMode="External" Id="Rb9f8a40f994a4c9f" /><Relationship Type="http://schemas.openxmlformats.org/officeDocument/2006/relationships/hyperlink" Target="https://meteor.aihw.gov.au/content/291036" TargetMode="External" Id="R1d388f5781e241d0" /><Relationship Type="http://schemas.openxmlformats.org/officeDocument/2006/relationships/hyperlink" Target="https://meteor.aihw.gov.au/content/394490" TargetMode="External" Id="R9a38722fe93847c8" /><Relationship Type="http://schemas.openxmlformats.org/officeDocument/2006/relationships/hyperlink" Target="https://meteor.aihw.gov.au/content/307931" TargetMode="External" Id="R0ee97fb0fb35427f" /><Relationship Type="http://schemas.openxmlformats.org/officeDocument/2006/relationships/hyperlink" Target="https://meteor.aihw.gov.au/content/394490" TargetMode="External" Id="Rbd154811d9564b22" /><Relationship Type="http://schemas.openxmlformats.org/officeDocument/2006/relationships/hyperlink" Target="https://meteor.aihw.gov.au/content/386783" TargetMode="External" Id="R2be6b9d352284a76" /><Relationship Type="http://schemas.openxmlformats.org/officeDocument/2006/relationships/hyperlink" Target="https://meteor.aihw.gov.au/content/394490" TargetMode="External" Id="R7f910788dcdd4112" /><Relationship Type="http://schemas.openxmlformats.org/officeDocument/2006/relationships/hyperlink" Target="http://www.aihw.gov.au/publications/ihw/aatsihpf08r-da/atsihpf08r-c01-22.pdf" TargetMode="External" Id="Rc91d8f13f6f04c04" /><Relationship Type="http://schemas.openxmlformats.org/officeDocument/2006/relationships/hyperlink" Target="http://www.aihw.gov.au/publications/ihw/aatsihpf08r-da/atsihpf08r-c01-23.pdf" TargetMode="External" Id="R2da73646f5404da9" /><Relationship Type="http://schemas.openxmlformats.org/officeDocument/2006/relationships/hyperlink" Target="https://meteor.aihw.gov.au/content/392575" TargetMode="External" Id="R714c5a772c8042fe" /><Relationship Type="http://schemas.openxmlformats.org/officeDocument/2006/relationships/hyperlink" Target="https://meteor.aihw.gov.au/content/393625" TargetMode="External" Id="R9697b38ea6dc42a2" /><Relationship Type="http://schemas.openxmlformats.org/officeDocument/2006/relationships/hyperlink" Target="https://meteor.aihw.gov.au/content/449216" TargetMode="External" Id="R7e13488e196a4d0e" /><Relationship Type="http://schemas.openxmlformats.org/officeDocument/2006/relationships/hyperlink" Target="https://meteor.aihw.gov.au/content/394490" TargetMode="External" Id="R10e7d64104d2422f" /><Relationship Type="http://schemas.openxmlformats.org/officeDocument/2006/relationships/hyperlink" Target="https://meteor.aihw.gov.au/content/449206" TargetMode="External" Id="Rb749890b86eb43eb" /><Relationship Type="http://schemas.openxmlformats.org/officeDocument/2006/relationships/hyperlink" Target="https://meteor.aihw.gov.au/content/394092" TargetMode="External" Id="R37f108d6096844ce" /><Relationship Type="http://schemas.openxmlformats.org/officeDocument/2006/relationships/hyperlink" Target="https://meteor.aihw.gov.au/content/449223" TargetMode="External" Id="R5fc47f02ff2147a8" /><Relationship Type="http://schemas.openxmlformats.org/officeDocument/2006/relationships/hyperlink" Target="https://meteor.aihw.gov.au/content/443713" TargetMode="External" Id="R3f6a0a8831184f64" /><Relationship Type="http://schemas.openxmlformats.org/officeDocument/2006/relationships/hyperlink" Target="https://meteor.aihw.gov.au/RegistrationAuthority/12" TargetMode="External" Id="R1b2552aa2fc04abc" /><Relationship Type="http://schemas.openxmlformats.org/officeDocument/2006/relationships/hyperlink" Target="https://meteor.aihw.gov.au/content/517671" TargetMode="External" Id="Rb09f6a3ee09d43ee" /><Relationship Type="http://schemas.openxmlformats.org/officeDocument/2006/relationships/hyperlink" Target="https://meteor.aihw.gov.au/RegistrationAuthority/12" TargetMode="External" Id="R7bb664fb322341b5" /><Relationship Type="http://schemas.openxmlformats.org/officeDocument/2006/relationships/hyperlink" Target="https://meteor.aihw.gov.au/content/498187" TargetMode="External" Id="R3a825087b0374397" /><Relationship Type="http://schemas.openxmlformats.org/officeDocument/2006/relationships/hyperlink" Target="https://meteor.aihw.gov.au/RegistrationAuthority/12" TargetMode="External" Id="R1370e6947b974e03" /><Relationship Type="http://schemas.openxmlformats.org/officeDocument/2006/relationships/hyperlink" Target="https://meteor.aihw.gov.au/content/498177" TargetMode="External" Id="R0e60b9196fdd443a" /><Relationship Type="http://schemas.openxmlformats.org/officeDocument/2006/relationships/hyperlink" Target="https://meteor.aihw.gov.au/RegistrationAuthority/12" TargetMode="External" Id="R7ea744840e9c4a33" /><Relationship Type="http://schemas.openxmlformats.org/officeDocument/2006/relationships/hyperlink" Target="https://meteor.aihw.gov.au/content/497242" TargetMode="External" Id="R813085d74c314cf7" /><Relationship Type="http://schemas.openxmlformats.org/officeDocument/2006/relationships/hyperlink" Target="https://meteor.aihw.gov.au/RegistrationAuthority/12" TargetMode="External" Id="R571f576da01c4164" /><Relationship Type="http://schemas.openxmlformats.org/officeDocument/2006/relationships/hyperlink" Target="https://meteor.aihw.gov.au/content/425739" TargetMode="External" Id="R64d8ca45e2db42e5" /><Relationship Type="http://schemas.openxmlformats.org/officeDocument/2006/relationships/hyperlink" Target="https://meteor.aihw.gov.au/RegistrationAuthority/6" TargetMode="External" Id="R5baa16c379284f55" /></Relationships>
</file>

<file path=word/_rels/header1.xml.rels>&#65279;<?xml version="1.0" encoding="utf-8"?><Relationships xmlns="http://schemas.openxmlformats.org/package/2006/relationships"><Relationship Type="http://schemas.openxmlformats.org/officeDocument/2006/relationships/image" Target="/media/image.png" Id="Re3772a78f3a742cb" /></Relationships>
</file>