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3e826c459b4e47"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care—clinical assessment score,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care—clinical assessment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assessment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0f6696757244c8">
              <w:r>
                <w:rPr>
                  <w:rStyle w:val="Hyperlink"/>
                  <w:color w:val="244061"/>
                </w:rPr>
                <w:t xml:space="preserve">Independent Hospital Pricing Authority</w:t>
              </w:r>
            </w:hyperlink>
            <w:r>
              <w:rPr>
                <w:rStyle w:val="row-content"/>
                <w:color w:val="244061"/>
              </w:rPr>
              <w:t xml:space="preserve">, Standard 30/10/2012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achieved by an admitted patient via the application of an appropriate clinical assessment measurement scale or scheme, as represented by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d221ebb9d74f64">
              <w:r>
                <w:rPr>
                  <w:rStyle w:val="Hyperlink"/>
                </w:rPr>
                <w:t xml:space="preserve">Episode of admitted patient care—clinical assessment score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4ad6446f9e4a38">
              <w:r>
                <w:rPr>
                  <w:rStyle w:val="Hyperlink"/>
                </w:rPr>
                <w:t xml:space="preserve">Clinical assessment score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captures the score achieved by an admitted patient via the application of one of the following recognised clinical assessment tools.</w:t>
            </w:r>
          </w:p>
          <w:p>
            <w:hyperlink w:tooltip="An assessment of the severity of patient disability." w:history="true" r:id="R6a98a0ac446845ea">
              <w:r>
                <w:rPr>
                  <w:rStyle w:val="Hyperlink"/>
                  <w:b/>
                </w:rPr>
                <w:t xml:space="preserve">Functional Independence Measure</w:t>
              </w:r>
            </w:hyperlink>
          </w:p>
          <w:p>
            <w:hyperlink w:tooltip="An assessment of patient motor function." w:history="true" r:id="Ref65da87ac384d8a">
              <w:r>
                <w:rPr>
                  <w:rStyle w:val="Hyperlink"/>
                  <w:b/>
                </w:rPr>
                <w:t xml:space="preserve">Resource Utilisation Groups - Activities of Daily Living</w:t>
              </w:r>
            </w:hyperlink>
          </w:p>
          <w:p>
            <w:hyperlink w:tooltip="An assessment of psychiatric symptoms and psychosocial functioning in an older patient." w:history="true" r:id="R01c784d1cd6c4299">
              <w:r>
                <w:rPr>
                  <w:rStyle w:val="Hyperlink"/>
                  <w:b/>
                </w:rPr>
                <w:t xml:space="preserve">Health of the Nation Outcome Scale 65+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948d7aa8814b99">
              <w:r>
                <w:rPr>
                  <w:rStyle w:val="Hyperlink"/>
                </w:rPr>
                <w:t xml:space="preserve">Episode of admitted patient care—clinical assessment score, code NN</w:t>
              </w:r>
            </w:hyperlink>
          </w:p>
          <w:p>
            <w:pPr>
              <w:spacing w:before="0" w:after="0"/>
            </w:pPr>
            <w:r>
              <w:rPr>
                <w:rStyle w:val="row-content"/>
                <w:color w:val="244061"/>
              </w:rPr>
              <w:t xml:space="preserve">       </w:t>
            </w:r>
            <w:hyperlink w:history="true" r:id="Rc450253f39aa4e5d">
              <w:r>
                <w:rPr>
                  <w:rStyle w:val="Hyperlink"/>
                  <w:color w:val="244061"/>
                </w:rPr>
                <w:t xml:space="preserve">Independent Hospital Pricing Authority</w:t>
              </w:r>
            </w:hyperlink>
            <w:r>
              <w:rPr>
                <w:rStyle w:val="row-content"/>
                <w:color w:val="244061"/>
              </w:rPr>
              <w:t xml:space="preserve">, Superseded 11/10/2012</w:t>
            </w:r>
          </w:p>
          <w:p>
            <w:r>
              <w:br/>
            </w:r>
            <w:r>
              <w:rPr>
                <w:rStyle w:val="row-content"/>
              </w:rPr>
              <w:t xml:space="preserve">See also </w:t>
            </w:r>
            <w:hyperlink w:history="true" r:id="R3643c6f5ba03421d">
              <w:r>
                <w:rPr>
                  <w:rStyle w:val="Hyperlink"/>
                </w:rPr>
                <w:t xml:space="preserve">Episode of admitted patient care—clinical assessment tool used, code N.N</w:t>
              </w:r>
            </w:hyperlink>
          </w:p>
          <w:p>
            <w:pPr>
              <w:spacing w:before="0" w:after="0"/>
            </w:pPr>
            <w:r>
              <w:rPr>
                <w:rStyle w:val="row-content"/>
                <w:color w:val="244061"/>
              </w:rPr>
              <w:t xml:space="preserve">       </w:t>
            </w:r>
            <w:hyperlink w:history="true" r:id="Rbfca16505e134057">
              <w:r>
                <w:rPr>
                  <w:rStyle w:val="Hyperlink"/>
                  <w:color w:val="244061"/>
                </w:rPr>
                <w:t xml:space="preserve">Independent Hospital Pricing Authority</w:t>
              </w:r>
            </w:hyperlink>
            <w:r>
              <w:rPr>
                <w:rStyle w:val="row-content"/>
                <w:color w:val="244061"/>
              </w:rPr>
              <w:t xml:space="preserve">, Standard 11/10/2012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ae2a5518e943b5">
              <w:r>
                <w:rPr>
                  <w:rStyle w:val="Hyperlink"/>
                </w:rPr>
                <w:t xml:space="preserve">Activity based funding: Admitted sub-acute and non-acute hospital care DSS 2013-2014</w:t>
              </w:r>
            </w:hyperlink>
          </w:p>
          <w:p>
            <w:pPr>
              <w:spacing w:before="0" w:after="0"/>
            </w:pPr>
            <w:r>
              <w:rPr>
                <w:rStyle w:val="row-content"/>
                <w:color w:val="244061"/>
              </w:rPr>
              <w:t xml:space="preserve">       </w:t>
            </w:r>
            <w:hyperlink w:history="true" r:id="Rd1ff37b042db44ba">
              <w:r>
                <w:rPr>
                  <w:rStyle w:val="Hyperlink"/>
                  <w:color w:val="244061"/>
                </w:rPr>
                <w:t xml:space="preserve">Independent Hospital Pricing Authority</w:t>
              </w:r>
            </w:hyperlink>
            <w:r>
              <w:rPr>
                <w:rStyle w:val="row-content"/>
                <w:color w:val="244061"/>
              </w:rPr>
              <w:t xml:space="preserve">, Standard 11/10/2012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Only required to be reported for episodes of admitted patient care with hospital service-care type, code N[N].N recorded as:</w:t>
            </w:r>
          </w:p>
          <w:p>
            <w:pPr>
              <w:pStyle w:val="ListParagraph"/>
              <w:numPr>
                <w:ilvl w:val="0"/>
                <w:numId w:val="2"/>
              </w:numPr>
            </w:pPr>
            <w:r>
              <w:rPr>
                <w:rStyle w:val="row-content"/>
              </w:rPr>
              <w:t xml:space="preserve">2.0 rehabilitation care;</w:t>
            </w:r>
          </w:p>
          <w:p>
            <w:pPr>
              <w:pStyle w:val="ListParagraph"/>
              <w:numPr>
                <w:ilvl w:val="0"/>
                <w:numId w:val="2"/>
              </w:numPr>
            </w:pPr>
            <w:r>
              <w:rPr>
                <w:rStyle w:val="row-content"/>
              </w:rPr>
              <w:t xml:space="preserve">3.0 palliative care;</w:t>
            </w:r>
          </w:p>
          <w:p>
            <w:pPr>
              <w:pStyle w:val="ListParagraph"/>
              <w:numPr>
                <w:ilvl w:val="0"/>
                <w:numId w:val="2"/>
              </w:numPr>
            </w:pPr>
            <w:r>
              <w:rPr>
                <w:rStyle w:val="row-content"/>
              </w:rPr>
              <w:t xml:space="preserve">4.0 geriatric evaluation and management;</w:t>
            </w:r>
          </w:p>
          <w:p>
            <w:pPr>
              <w:pStyle w:val="ListParagraph"/>
              <w:numPr>
                <w:ilvl w:val="0"/>
                <w:numId w:val="2"/>
              </w:numPr>
            </w:pPr>
            <w:r>
              <w:rPr>
                <w:rStyle w:val="row-content"/>
              </w:rPr>
              <w:t xml:space="preserve">5.0 psychogeriatric care; or</w:t>
            </w:r>
          </w:p>
          <w:p>
            <w:pPr>
              <w:pStyle w:val="ListParagraph"/>
              <w:numPr>
                <w:ilvl w:val="0"/>
                <w:numId w:val="2"/>
              </w:numPr>
            </w:pPr>
            <w:r>
              <w:rPr>
                <w:rStyle w:val="row-content"/>
              </w:rPr>
              <w:t xml:space="preserve">6.0 maintenance care. </w:t>
            </w:r>
          </w:p>
          <w:p>
            <w:r>
              <w:rPr>
                <w:rStyle w:val="row-content"/>
              </w:rPr>
              <w:t xml:space="preserve">Only required to be reported when Episode of admitted patient care-assessment only indicator, yes/no, code N value recorded as 2 no.</w:t>
            </w:r>
          </w:p>
          <w:p>
            <w:r>
              <w:br/>
            </w:r>
            <w:r>
              <w:rPr>
                <w:rStyle w:val="row-content"/>
                <w:b/>
                <w:i/>
              </w:rPr>
              <w:t xml:space="preserve">DSS specific information: </w:t>
            </w:r>
          </w:p>
          <w:p>
            <w:r>
              <w:rPr>
                <w:rStyle w:val="row-content"/>
              </w:rPr>
              <w:t xml:space="preserve">For the purposes of this DSS, the following clinical assessment scores are required to be reported:</w:t>
            </w:r>
          </w:p>
          <w:p>
            <w:pPr>
              <w:pStyle w:val="ListParagraph"/>
              <w:numPr>
                <w:ilvl w:val="0"/>
                <w:numId w:val="3"/>
              </w:numPr>
            </w:pPr>
            <w:r>
              <w:rPr>
                <w:rStyle w:val="row-content"/>
              </w:rPr>
              <w:t xml:space="preserve">The </w:t>
            </w:r>
            <w:hyperlink w:history="true" r:id="R3be74888473f476f">
              <w:r>
                <w:rPr>
                  <w:rStyle w:val="Hyperlink"/>
                  <w:b/>
                </w:rPr>
                <w:t xml:space="preserve">Functional Independence Measure</w:t>
              </w:r>
            </w:hyperlink>
            <w:r>
              <w:rPr>
                <w:rStyle w:val="row-content"/>
              </w:rPr>
              <w:t xml:space="preserve"> motor subscale score and social cognition subscale score must be reported for episodes of admitted patient care with hospital service-care type, code N[N].N recorded as 2.0 rehabilitation care or 4.0 geriatric evaluation and management. The score must be collected within 72 hours of the commencement of the episode of admitted patient care.</w:t>
            </w:r>
          </w:p>
          <w:p>
            <w:pPr>
              <w:pStyle w:val="ListParagraph"/>
              <w:numPr>
                <w:ilvl w:val="0"/>
                <w:numId w:val="3"/>
              </w:numPr>
            </w:pPr>
            <w:r>
              <w:rPr>
                <w:rStyle w:val="row-content"/>
              </w:rPr>
              <w:t xml:space="preserve">The </w:t>
            </w:r>
            <w:hyperlink w:history="true" r:id="R1d2913e262ab4b01">
              <w:r>
                <w:rPr>
                  <w:rStyle w:val="Hyperlink"/>
                  <w:b/>
                </w:rPr>
                <w:t xml:space="preserve">Resource Utilisation Groups -Activities of Daily Living</w:t>
              </w:r>
            </w:hyperlink>
            <w:r>
              <w:rPr>
                <w:rStyle w:val="row-content"/>
              </w:rPr>
              <w:t xml:space="preserve"> total score must be reported for episodes of admitted patient care with hospital service-care type, code N[N].N recorded as 3.0 palliative care or 6.0 maintenance care. The score must be collected within 24 hours of the commencement of the episode of admitted patient care.</w:t>
            </w:r>
          </w:p>
          <w:p>
            <w:pPr>
              <w:pStyle w:val="ListParagraph"/>
              <w:numPr>
                <w:ilvl w:val="0"/>
                <w:numId w:val="3"/>
              </w:numPr>
            </w:pPr>
            <w:r>
              <w:rPr>
                <w:rStyle w:val="row-content"/>
              </w:rPr>
              <w:t xml:space="preserve">The </w:t>
            </w:r>
            <w:hyperlink w:history="true" r:id="Raa250ccbca1445f7">
              <w:r>
                <w:rPr>
                  <w:rStyle w:val="Hyperlink"/>
                  <w:b/>
                </w:rPr>
                <w:t xml:space="preserve">Health of the Nation Outcome Scale 65+</w:t>
              </w:r>
            </w:hyperlink>
            <w:r>
              <w:rPr>
                <w:rStyle w:val="row-content"/>
              </w:rPr>
              <w:t xml:space="preserve"> activities of daily living scale score, overactive, aggressive, disruptive behaviour scale score and the total score must be reported for episodes of admitted patient care with hospital service-care type, code N[N].N recorded as 5.0 psychogeriatric care. The score must be collected within 72 hours of the commencement of the episode of admitted patient care.</w:t>
            </w:r>
          </w:p>
          <w:p>
            <w:r>
              <w:rPr>
                <w:rStyle w:val="row-content"/>
              </w:rPr>
              <w:t xml:space="preserve">For episodes of admitted patient care with hospital service-care type, code N[N].N recorded as 3.0 palliative care, the </w:t>
            </w:r>
            <w:hyperlink w:history="true" r:id="R6dcc082f9f4c4beb">
              <w:r>
                <w:rPr>
                  <w:rStyle w:val="Hyperlink"/>
                  <w:b/>
                </w:rPr>
                <w:t xml:space="preserve">Resource Utilisation Groups -Activities of Daily Living</w:t>
              </w:r>
            </w:hyperlink>
            <w:r>
              <w:rPr>
                <w:rStyle w:val="row-content"/>
              </w:rPr>
              <w:t xml:space="preserve"> total score must be reported for each </w:t>
            </w:r>
            <w:hyperlink w:history="true" r:id="R67c7d19e76624fcb">
              <w:r>
                <w:rPr>
                  <w:rStyle w:val="Hyperlink"/>
                  <w:b/>
                </w:rPr>
                <w:t xml:space="preserve">palliative care phase</w:t>
              </w:r>
            </w:hyperlink>
            <w:r>
              <w:rPr>
                <w:rStyle w:val="row-content"/>
              </w:rPr>
              <w:t xml:space="preserve"> if the episode of admitted patient care had more than one phase.</w:t>
            </w:r>
          </w:p>
          <w:p>
            <w:r>
              <w:br/>
            </w:r>
            <w:r>
              <w:br/>
            </w:r>
          </w:p>
        </w:tc>
      </w:tr>
    </w:tbl>
    <w:p/>
    <w:tbl>
      <w:tblPr>
        <w:tblStyle w:val="TableGrid"/>
        <w:tblW w:w="0" w:type="auto"/>
      </w:tblPr>
    </w:tbl>
    <w:p>
      <w:r>
        <w:br/>
      </w:r>
    </w:p>
    <w:sectPr>
      <w:footerReference xmlns:r="http://schemas.openxmlformats.org/officeDocument/2006/relationships" w:type="default" r:id="Rffad185f88464b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497302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d284120c9949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ad185f88464bdc" /><Relationship Type="http://schemas.openxmlformats.org/officeDocument/2006/relationships/header" Target="/word/header1.xml" Id="R14dccaa3948f4551" /><Relationship Type="http://schemas.openxmlformats.org/officeDocument/2006/relationships/settings" Target="/word/settings.xml" Id="Rc65ccaf7a6374c62" /><Relationship Type="http://schemas.openxmlformats.org/officeDocument/2006/relationships/styles" Target="/word/styles.xml" Id="Rd9153bde109345bf" /><Relationship Type="http://schemas.openxmlformats.org/officeDocument/2006/relationships/hyperlink" Target="https://meteor.aihw.gov.au/RegistrationAuthority/3" TargetMode="External" Id="R430f6696757244c8" /><Relationship Type="http://schemas.openxmlformats.org/officeDocument/2006/relationships/hyperlink" Target="https://meteor.aihw.gov.au/content/477824" TargetMode="External" Id="R82d221ebb9d74f64" /><Relationship Type="http://schemas.openxmlformats.org/officeDocument/2006/relationships/hyperlink" Target="https://meteor.aihw.gov.au/content/477817" TargetMode="External" Id="R594ad6446f9e4a38" /><Relationship Type="http://schemas.openxmlformats.org/officeDocument/2006/relationships/hyperlink" Target="https://meteor.aihw.gov.au/content/495857" TargetMode="External" Id="R6a98a0ac446845ea" /><Relationship Type="http://schemas.openxmlformats.org/officeDocument/2006/relationships/hyperlink" Target="https://meteor.aihw.gov.au/content/495909" TargetMode="External" Id="Ref65da87ac384d8a" /><Relationship Type="http://schemas.openxmlformats.org/officeDocument/2006/relationships/hyperlink" Target="https://meteor.aihw.gov.au/content/495880" TargetMode="External" Id="R01c784d1cd6c4299" /><Relationship Type="http://schemas.openxmlformats.org/officeDocument/2006/relationships/hyperlink" Target="https://meteor.aihw.gov.au/content/477826" TargetMode="External" Id="R82948d7aa8814b99" /><Relationship Type="http://schemas.openxmlformats.org/officeDocument/2006/relationships/hyperlink" Target="https://meteor.aihw.gov.au/RegistrationAuthority/3" TargetMode="External" Id="Rc450253f39aa4e5d" /><Relationship Type="http://schemas.openxmlformats.org/officeDocument/2006/relationships/hyperlink" Target="https://meteor.aihw.gov.au/content/497304" TargetMode="External" Id="R3643c6f5ba03421d" /><Relationship Type="http://schemas.openxmlformats.org/officeDocument/2006/relationships/hyperlink" Target="https://meteor.aihw.gov.au/RegistrationAuthority/3" TargetMode="External" Id="Rbfca16505e134057" /><Relationship Type="http://schemas.openxmlformats.org/officeDocument/2006/relationships/hyperlink" Target="https://meteor.aihw.gov.au/content/496358" TargetMode="External" Id="R6bae2a5518e943b5" /><Relationship Type="http://schemas.openxmlformats.org/officeDocument/2006/relationships/hyperlink" Target="https://meteor.aihw.gov.au/RegistrationAuthority/3" TargetMode="External" Id="Rd1ff37b042db44ba" /><Relationship Type="http://schemas.openxmlformats.org/officeDocument/2006/relationships/numbering" Target="/word/numbering.xml" Id="R4324bc97d7ee4c89" /><Relationship Type="http://schemas.openxmlformats.org/officeDocument/2006/relationships/hyperlink" Target="https://meteor.aihw.gov.au/content/495857" TargetMode="External" Id="R3be74888473f476f" /><Relationship Type="http://schemas.openxmlformats.org/officeDocument/2006/relationships/hyperlink" Target="https://meteor.aihw.gov.au/content/495909" TargetMode="External" Id="R1d2913e262ab4b01" /><Relationship Type="http://schemas.openxmlformats.org/officeDocument/2006/relationships/hyperlink" Target="https://meteor.aihw.gov.au/content/495880" TargetMode="External" Id="Raa250ccbca1445f7" /><Relationship Type="http://schemas.openxmlformats.org/officeDocument/2006/relationships/hyperlink" Target="https://meteor.aihw.gov.au/content/495909" TargetMode="External" Id="R6dcc082f9f4c4beb" /><Relationship Type="http://schemas.openxmlformats.org/officeDocument/2006/relationships/hyperlink" Target="https://meteor.aihw.gov.au/content/497358" TargetMode="External" Id="R67c7d19e76624fcb" /></Relationships>
</file>

<file path=word/_rels/header1.xml.rels>&#65279;<?xml version="1.0" encoding="utf-8"?><Relationships xmlns="http://schemas.openxmlformats.org/package/2006/relationships"><Relationship Type="http://schemas.openxmlformats.org/officeDocument/2006/relationships/image" Target="/media/image.png" Id="Rd0d284120c99493e" /></Relationships>
</file>