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9d71a92ea04857"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Data quality statement: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Data quality statement: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4a9183a17439d">
              <w:r>
                <w:rPr>
                  <w:rStyle w:val="Hyperlink"/>
                  <w:color w:val="244061"/>
                </w:rPr>
                <w:t xml:space="preserve">AIHW Data Quality Statements</w:t>
              </w:r>
            </w:hyperlink>
            <w:r>
              <w:rPr>
                <w:rStyle w:val="row-content"/>
                <w:color w:val="244061"/>
              </w:rPr>
              <w:t xml:space="preserve">, Superseded 18/10/2013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Non-Admitted Patient Emergency Department Care Database (NNAPEDC) is a compilation of episode-level data for emergency department presentations in public hospitals.</w:t>
            </w:r>
          </w:p>
          <w:p>
            <w:pPr>
              <w:pStyle w:val="ListParagraph"/>
              <w:numPr>
                <w:ilvl w:val="0"/>
                <w:numId w:val="2"/>
              </w:numPr>
            </w:pPr>
            <w:r>
              <w:rPr>
                <w:rStyle w:val="row-content-rich-text"/>
              </w:rPr>
              <w:t xml:space="preserve">The scope of the NNAPEDCD is non-admitted patients registered for care in emergency departments in public hospital peer groups A and B (</w:t>
            </w:r>
            <w:r>
              <w:rPr>
                <w:rStyle w:val="row-content-rich-text"/>
                <w:i/>
              </w:rPr>
              <w:t xml:space="preserve">Principal referral and specialist women’s and children’s</w:t>
            </w:r>
            <w:r>
              <w:rPr>
                <w:rStyle w:val="row-content-rich-text"/>
              </w:rPr>
              <w:t xml:space="preserve"> and </w:t>
            </w:r>
            <w:r>
              <w:rPr>
                <w:rStyle w:val="row-content-rich-text"/>
                <w:i/>
              </w:rPr>
              <w:t xml:space="preserve">Large</w:t>
            </w:r>
            <w:r>
              <w:rPr>
                <w:rStyle w:val="row-content-rich-text"/>
              </w:rPr>
              <w:t xml:space="preserve"> hospitals).</w:t>
            </w:r>
          </w:p>
          <w:p>
            <w:pPr>
              <w:pStyle w:val="ListParagraph"/>
              <w:numPr>
                <w:ilvl w:val="0"/>
                <w:numId w:val="2"/>
              </w:numPr>
            </w:pPr>
            <w:r>
              <w:rPr>
                <w:rStyle w:val="row-content-rich-text"/>
              </w:rPr>
              <w:t xml:space="preserve">Some states and territories also provided data for public hospitals that were classified in peer groups other than A or B. Data were also provided for:</w:t>
            </w:r>
            <w:r>
              <w:br/>
            </w:r>
            <w:r>
              <w:rPr>
                <w:rStyle w:val="row-content-rich-text"/>
              </w:rPr>
              <w:t xml:space="preserve">        • 24 </w:t>
            </w:r>
            <w:r>
              <w:rPr>
                <w:rStyle w:val="row-content-rich-text"/>
                <w:i/>
              </w:rPr>
              <w:t xml:space="preserve">Medium hospitals</w:t>
            </w:r>
            <w:r>
              <w:rPr>
                <w:rStyle w:val="row-content-rich-text"/>
              </w:rPr>
              <w:t xml:space="preserve">, 20 </w:t>
            </w:r>
            <w:r>
              <w:rPr>
                <w:rStyle w:val="row-content-rich-text"/>
                <w:i/>
              </w:rPr>
              <w:t xml:space="preserve">Small hospitals</w:t>
            </w:r>
            <w:r>
              <w:rPr>
                <w:rStyle w:val="row-content-rich-text"/>
              </w:rPr>
              <w:t xml:space="preserve"> and 8</w:t>
            </w:r>
            <w:r>
              <w:rPr>
                <w:rStyle w:val="row-content-rich-text"/>
                <w:i/>
              </w:rPr>
              <w:t xml:space="preserve"> Unpeered/Other</w:t>
            </w:r>
            <w:r>
              <w:rPr>
                <w:rStyle w:val="row-content-rich-text"/>
              </w:rPr>
              <w:t xml:space="preserve"> hospitals in New South</w:t>
            </w:r>
            <w:r>
              <w:br/>
            </w:r>
            <w:r>
              <w:rPr>
                <w:rStyle w:val="row-content-rich-text"/>
              </w:rPr>
              <w:t xml:space="preserve">Wales</w:t>
            </w:r>
            <w:r>
              <w:br/>
            </w:r>
            <w:r>
              <w:rPr>
                <w:rStyle w:val="row-content-rich-text"/>
              </w:rPr>
              <w:t xml:space="preserve">        • 7 </w:t>
            </w:r>
            <w:r>
              <w:rPr>
                <w:rStyle w:val="row-content-rich-text"/>
                <w:i/>
              </w:rPr>
              <w:t xml:space="preserve">Medium</w:t>
            </w:r>
            <w:r>
              <w:rPr>
                <w:rStyle w:val="row-content-rich-text"/>
              </w:rPr>
              <w:t xml:space="preserve"> hospitals in Victoria</w:t>
            </w:r>
            <w:r>
              <w:br/>
            </w:r>
            <w:r>
              <w:rPr>
                <w:rStyle w:val="row-content-rich-text"/>
              </w:rPr>
              <w:t xml:space="preserve">        • 4 </w:t>
            </w:r>
            <w:r>
              <w:rPr>
                <w:rStyle w:val="row-content-rich-text"/>
                <w:i/>
              </w:rPr>
              <w:t xml:space="preserve">Medium</w:t>
            </w:r>
            <w:r>
              <w:rPr>
                <w:rStyle w:val="row-content-rich-text"/>
              </w:rPr>
              <w:t xml:space="preserve"> hospitals in Queensland</w:t>
            </w:r>
            <w:r>
              <w:br/>
            </w:r>
            <w:r>
              <w:rPr>
                <w:rStyle w:val="row-content-rich-text"/>
              </w:rPr>
              <w:t xml:space="preserve">        • 3 </w:t>
            </w:r>
            <w:r>
              <w:rPr>
                <w:rStyle w:val="row-content-rich-text"/>
                <w:i/>
              </w:rPr>
              <w:t xml:space="preserve">Small</w:t>
            </w:r>
            <w:r>
              <w:rPr>
                <w:rStyle w:val="row-content-rich-text"/>
              </w:rPr>
              <w:t xml:space="preserve"> remote acute hospitals in Western Australia</w:t>
            </w:r>
            <w:r>
              <w:br/>
            </w:r>
            <w:r>
              <w:rPr>
                <w:rStyle w:val="row-content-rich-text"/>
              </w:rPr>
              <w:t xml:space="preserve">        • 7 </w:t>
            </w:r>
            <w:r>
              <w:rPr>
                <w:rStyle w:val="row-content-rich-text"/>
                <w:i/>
              </w:rPr>
              <w:t xml:space="preserve">Medium</w:t>
            </w:r>
            <w:r>
              <w:rPr>
                <w:rStyle w:val="row-content-rich-text"/>
              </w:rPr>
              <w:t xml:space="preserve"> hospitals and 1 </w:t>
            </w:r>
            <w:r>
              <w:rPr>
                <w:rStyle w:val="row-content-rich-text"/>
                <w:i/>
              </w:rPr>
              <w:t xml:space="preserve">Small remote acute</w:t>
            </w:r>
            <w:r>
              <w:rPr>
                <w:rStyle w:val="row-content-rich-text"/>
              </w:rPr>
              <w:t xml:space="preserve"> hospital in South Australia</w:t>
            </w:r>
            <w:r>
              <w:br/>
            </w:r>
            <w:r>
              <w:rPr>
                <w:rStyle w:val="row-content-rich-text"/>
              </w:rPr>
              <w:t xml:space="preserve">        • 1 </w:t>
            </w:r>
            <w:r>
              <w:rPr>
                <w:rStyle w:val="row-content-rich-text"/>
                <w:i/>
              </w:rPr>
              <w:t xml:space="preserve">Medium</w:t>
            </w:r>
            <w:r>
              <w:rPr>
                <w:rStyle w:val="row-content-rich-text"/>
              </w:rPr>
              <w:t xml:space="preserve"> hospital in Tasmania</w:t>
            </w:r>
            <w:r>
              <w:br/>
            </w:r>
            <w:r>
              <w:rPr>
                <w:rStyle w:val="row-content-rich-text"/>
              </w:rPr>
              <w:t xml:space="preserve">        • 3 </w:t>
            </w:r>
            <w:r>
              <w:rPr>
                <w:rStyle w:val="row-content-rich-text"/>
                <w:i/>
              </w:rPr>
              <w:t xml:space="preserve">Small remote acute</w:t>
            </w:r>
            <w:r>
              <w:rPr>
                <w:rStyle w:val="row-content-rich-text"/>
              </w:rPr>
              <w:t xml:space="preserve"> hospitals in the Northern Territory.</w:t>
            </w:r>
          </w:p>
          <w:p>
            <w:pPr>
              <w:pStyle w:val="ListParagraph"/>
              <w:numPr>
                <w:ilvl w:val="0"/>
                <w:numId w:val="2"/>
              </w:numPr>
            </w:pPr>
            <w:r>
              <w:rPr>
                <w:rStyle w:val="row-content-rich-text"/>
              </w:rPr>
              <w:t xml:space="preserve">For 2011–12, a preliminary estimate of the proportion of emergency occasions of service</w:t>
            </w:r>
            <w:r>
              <w:br/>
            </w:r>
            <w:r>
              <w:rPr>
                <w:rStyle w:val="row-content-rich-text"/>
              </w:rPr>
              <w:t xml:space="preserve">reported to the NNAPEDCD was 100% for public hospitals in peer groups A and B and</w:t>
            </w:r>
            <w:r>
              <w:br/>
            </w:r>
            <w:r>
              <w:rPr>
                <w:rStyle w:val="row-content-rich-text"/>
              </w:rPr>
              <w:t xml:space="preserve">83% for all public hospitals. This estimate will be finalised when the total numbers of</w:t>
            </w:r>
            <w:r>
              <w:br/>
            </w:r>
            <w:r>
              <w:rPr>
                <w:rStyle w:val="row-content-rich-text"/>
              </w:rPr>
              <w:t xml:space="preserve">emergency occasions of service are available early in 2013 in the National Public Hospital</w:t>
            </w:r>
            <w:r>
              <w:br/>
            </w:r>
            <w:r>
              <w:rPr>
                <w:rStyle w:val="row-content-rich-text"/>
              </w:rPr>
              <w:t xml:space="preserve">Establishments Database for 2011–12.</w:t>
            </w:r>
          </w:p>
          <w:p>
            <w:pPr>
              <w:pStyle w:val="ListParagraph"/>
              <w:numPr>
                <w:ilvl w:val="0"/>
                <w:numId w:val="2"/>
              </w:numPr>
            </w:pPr>
            <w:r>
              <w:rPr>
                <w:rStyle w:val="row-content-rich-text"/>
              </w:rPr>
              <w:t xml:space="preserve">Before 1 January 2012, the data collection does not include care provided to admitted patients in emergency departments. From 1 January 2012, all care provided to patients</w:t>
            </w:r>
            <w:r>
              <w:br/>
            </w:r>
            <w:r>
              <w:rPr>
                <w:rStyle w:val="row-content-rich-text"/>
              </w:rPr>
              <w:t xml:space="preserve">treated in emergency departments remain in scope for this collection. Care is included until the patient is recorded as having physically departed the emergency department, admitted to ‘short stay units’ is not included.</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For example, there is variation in the point at which the non-admitted patient emergency department presentation is reported as completed for those patients subsequently admitted within the emergency department and/or elsewhere in the hospital.</w:t>
            </w:r>
          </w:p>
          <w:p>
            <w:pPr>
              <w:pStyle w:val="ListParagraph"/>
              <w:numPr>
                <w:ilvl w:val="0"/>
                <w:numId w:val="2"/>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2"/>
              </w:numPr>
            </w:pPr>
            <w:r>
              <w:rPr>
                <w:rStyle w:val="row-content-rich-text"/>
              </w:rPr>
              <w:t xml:space="preserve">Changes in data set specifications in the second half of 2011–12 may affect the comparability of these data with other reporting periods and across the 2011–12 reporting period.</w:t>
            </w:r>
          </w:p>
          <w:p>
            <w:pPr>
              <w:pStyle w:val="ListParagraph"/>
              <w:numPr>
                <w:ilvl w:val="0"/>
                <w:numId w:val="2"/>
              </w:numPr>
            </w:pPr>
            <w:r>
              <w:rPr>
                <w:rStyle w:val="row-content-rich-text"/>
              </w:rPr>
              <w:t xml:space="preserve">The waiting times data presented in this report for the Australian Capital Territory differs from the information presented in previous Australian hospital statistics reports for the period 2008–09 to 2010–11, due to the resupply of corrected data from the Australian Capital Territory.</w:t>
            </w:r>
          </w:p>
          <w:p>
            <w:pPr>
              <w:pStyle w:val="Heading2"/>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2012 are based on the National Minimum Data Set for Nonadmitted patient emergency department care (NAPEDC NMDS). Data supplied for the period from 1 January 2011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w:t>
            </w:r>
            <w:r>
              <w:rPr>
                <w:rStyle w:val="row-content-rich-text"/>
                <w:i/>
              </w:rPr>
              <w:t xml:space="preserve">(Principal referral and specialist women’s and children’s hospitals</w:t>
            </w:r>
            <w:r>
              <w:rPr>
                <w:rStyle w:val="row-content-rich-text"/>
              </w:rPr>
              <w:t xml:space="preserve"> and</w:t>
            </w:r>
            <w:r>
              <w:rPr>
                <w:rStyle w:val="row-content-rich-text"/>
                <w:i/>
              </w:rPr>
              <w:t xml:space="preserve"> Large</w:t>
            </w:r>
            <w:r>
              <w:rPr>
                <w:rStyle w:val="row-content-rich-text"/>
              </w:rPr>
              <w:t xml:space="preserve"> hospitals) in the Australian Institute of Health and Welfare’s</w:t>
            </w:r>
            <w:r>
              <w:rPr>
                <w:rStyle w:val="row-content-rich-text"/>
                <w:i/>
              </w:rPr>
              <w:t xml:space="preserve"> Australian hospital statistics</w:t>
            </w:r>
            <w:r>
              <w:rPr>
                <w:rStyle w:val="row-content-rich-text"/>
              </w:rPr>
              <w:t xml:space="preserve"> of the previous year, data were also provided by some states and territories for hospitals in peer groups other than A and B.</w:t>
            </w:r>
          </w:p>
          <w:p>
            <w:pPr/>
            <w:r>
              <w:rPr>
                <w:rStyle w:val="row-content-rich-text"/>
              </w:rPr>
              <w:t xml:space="preserve">The NNAPEDCD includes data for each year from 2003–04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a7734837d41466a">
              <w:r>
                <w:rPr>
                  <w:rStyle w:val="Hyperlink"/>
                </w:rPr>
                <w:t xml:space="preserve">www.aihw.gov.au</w:t>
              </w:r>
            </w:hyperlink>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8ada5798cbab4c43">
              <w:r>
                <w:rPr>
                  <w:rStyle w:val="Hyperlink"/>
                </w:rPr>
                <w:t xml:space="preserve">http://www.aihw.gov.au/nhissc/</w:t>
              </w:r>
            </w:hyperlink>
            <w:hyperlink w:history="true" r:id="Rcd8f9186c6d5489a">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This report was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suite of products with associated Excel tables.</w:t>
            </w:r>
          </w:p>
          <w:p>
            <w:pPr>
              <w:spacing w:after="160"/>
            </w:pPr>
            <w:r>
              <w:rPr>
                <w:rStyle w:val="row-content-rich-text"/>
              </w:rPr>
              <w:t xml:space="preserve">These products may be accessed on the AIHW website at:</w:t>
            </w:r>
          </w:p>
          <w:p>
            <w:hyperlink w:history="true" r:id="Rf67e7024201c45ce">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hyperlink w:history="true" r:id="Ra76e44e8a1124686">
              <w:r>
                <w:rPr>
                  <w:rStyle w:val="Hyperlink"/>
                </w:rPr>
                <w:t xml:space="preserve">/content/index.phtml/itemId/181162</w:t>
              </w:r>
            </w:hyperlink>
          </w:p>
          <w:p>
            <w:hyperlink w:history="true" r:id="Re219f31f5e544f6b">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Data were also provided by some states and territories for hospitals that were not classified as either peer group A or B hospitals.</w:t>
            </w:r>
          </w:p>
          <w:p>
            <w:pPr>
              <w:spacing w:after="160"/>
            </w:pPr>
            <w:r>
              <w:rPr>
                <w:rStyle w:val="row-content-rich-text"/>
              </w:rPr>
              <w:t xml:space="preserve">For 2011–12, a preliminary estimate of the proportion of emergency occasions of service reported to the NNAPEDCD was 100% for public hospitals in peer groups A and B and 83% for all public hospitals. This estimate will be finalised when the total numbers of emergency occasions of service are available early in 2013 in the National Public Hospital Establishments Database for 2011-12.</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 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However, care provided to patients admitted to ‘short stay units’ is not included.</w:t>
            </w:r>
          </w:p>
          <w:p>
            <w:pPr>
              <w:spacing w:after="160"/>
            </w:pPr>
            <w:r>
              <w:rPr>
                <w:rStyle w:val="row-content-rich-text"/>
              </w:rPr>
              <w:t xml:space="preserve">Non-admitted patients who are treated in outpatient clinics are not included in the NNAPEDCD.</w:t>
            </w:r>
          </w:p>
          <w:p>
            <w:pPr>
              <w:spacing w:after="160"/>
            </w:pPr>
            <w:r>
              <w:rPr>
                <w:rStyle w:val="row-content-rich-text"/>
                <w:b/>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spacing w:after="160"/>
            </w:pPr>
            <w:r>
              <w:rPr>
                <w:rStyle w:val="row-content-rich-text"/>
                <w:b/>
              </w:rPr>
              <w:t xml:space="preserve">Geographic detail</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w:t>
            </w:r>
            <w:r>
              <w:br/>
            </w:r>
            <w:r>
              <w:rPr>
                <w:rStyle w:val="row-content-rich-text"/>
              </w:rPr>
              <w:t xml:space="preserve">geographical area is considered useful.</w:t>
            </w:r>
          </w:p>
          <w:p>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variation</w:t>
            </w:r>
          </w:p>
          <w:p>
            <w:pPr>
              <w:spacing w:after="160"/>
            </w:pPr>
            <w:r>
              <w:rPr>
                <w:rStyle w:val="row-content-rich-text"/>
              </w:rPr>
              <w:t xml:space="preserve">Although there are national standards for data on emergency department care, statistics may</w:t>
            </w:r>
            <w:r>
              <w:br/>
            </w:r>
            <w:r>
              <w:rPr>
                <w:rStyle w:val="row-content-rich-text"/>
              </w:rPr>
              <w:t xml:space="preserve">be affected by variations in reporting practices across states and territories.</w:t>
            </w:r>
          </w:p>
          <w:p>
            <w:pPr>
              <w:spacing w:after="160"/>
            </w:pPr>
            <w:r>
              <w:rPr>
                <w:rStyle w:val="row-content-rich-text"/>
              </w:rPr>
              <w:t xml:space="preserve">There was variation in the reporting of </w:t>
            </w:r>
            <w:r>
              <w:rPr>
                <w:rStyle w:val="row-content-rich-text"/>
                <w:i/>
              </w:rPr>
              <w:t xml:space="preserve">Type of visit</w:t>
            </w:r>
            <w:r>
              <w:rPr>
                <w:rStyle w:val="row-content-rich-text"/>
              </w:rPr>
              <w:t xml:space="preserve"> by state or territory. Not all states and territories reported presentations for all type of visit categories. In particular, for patients who were </w:t>
            </w:r>
            <w:r>
              <w:rPr>
                <w:rStyle w:val="row-content-rich-text"/>
                <w:i/>
              </w:rPr>
              <w:t xml:space="preserve">Dead on arrival</w:t>
            </w:r>
            <w:r>
              <w:rPr>
                <w:rStyle w:val="row-content-rich-text"/>
              </w:rPr>
              <w:t xml:space="preserve">:</w:t>
            </w:r>
          </w:p>
          <w:p>
            <w:pPr>
              <w:pStyle w:val="ListParagraph"/>
              <w:numPr>
                <w:ilvl w:val="0"/>
                <w:numId w:val="4"/>
              </w:numPr>
            </w:pPr>
            <w:r>
              <w:rPr>
                <w:rStyle w:val="row-content-rich-text"/>
              </w:rPr>
              <w:t xml:space="preserve">Western Australian emergency departments only occasionally manage and report patients who are </w:t>
            </w:r>
            <w:r>
              <w:rPr>
                <w:rStyle w:val="row-content-rich-text"/>
                <w:i/>
              </w:rPr>
              <w:t xml:space="preserve">Dead on arrival </w:t>
            </w:r>
          </w:p>
          <w:p>
            <w:pPr>
              <w:pStyle w:val="ListParagraph"/>
              <w:numPr>
                <w:ilvl w:val="0"/>
                <w:numId w:val="4"/>
              </w:numPr>
            </w:pPr>
            <w:r>
              <w:rPr>
                <w:rStyle w:val="row-content-rich-text"/>
              </w:rPr>
              <w:t xml:space="preserve">South Australian emergency departments do not manage or report patients who are Dead on arrival</w:t>
            </w:r>
          </w:p>
          <w:p>
            <w:pPr>
              <w:pStyle w:val="ListParagraph"/>
              <w:numPr>
                <w:ilvl w:val="0"/>
                <w:numId w:val="4"/>
              </w:numPr>
            </w:pPr>
            <w:r>
              <w:rPr>
                <w:rStyle w:val="row-content-rich-text"/>
              </w:rPr>
              <w:t xml:space="preserve">Tasmanian emergency departments did not identify patients who were dead on arrival by type of visit, but did record the episode end status as </w:t>
            </w:r>
            <w:r>
              <w:rPr>
                <w:rStyle w:val="row-content-rich-text"/>
                <w:i/>
              </w:rPr>
              <w:t xml:space="preserve">Dead on arrival</w:t>
            </w:r>
            <w:r>
              <w:rPr>
                <w:rStyle w:val="row-content-rich-text"/>
              </w:rPr>
              <w:t xml:space="preserv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w:t>
            </w:r>
            <w:r>
              <w:rPr>
                <w:rStyle w:val="row-content-rich-text"/>
                <w:i/>
              </w:rPr>
              <w:t xml:space="preserve">Admitted to this hospital</w:t>
            </w:r>
            <w:r>
              <w:rPr>
                <w:rStyle w:val="row-content-rich-text"/>
              </w:rPr>
              <w:t xml:space="preserve">, whereas other jurisdictions reported these to the NNAPEDCD as </w:t>
            </w:r>
            <w:r>
              <w:rPr>
                <w:rStyle w:val="row-content-rich-text"/>
                <w:i/>
              </w:rPr>
              <w:t xml:space="preserve">Died in the emergency department as a nonadmitted patient</w:t>
            </w:r>
            <w:r>
              <w:rPr>
                <w:rStyle w:val="row-content-rich-text"/>
              </w:rPr>
              <w:t xml:space="preserve">. In addition, Western Australia and South Australia did not use the episode end status </w:t>
            </w:r>
            <w:r>
              <w:rPr>
                <w:rStyle w:val="row-content-rich-text"/>
                <w:i/>
              </w:rPr>
              <w:t xml:space="preserve">Dead on arrival</w:t>
            </w:r>
            <w:r>
              <w:rPr>
                <w:rStyle w:val="row-content-rich-text"/>
              </w:rPr>
              <w:t xml:space="preserve">.</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b/>
              </w:rPr>
              <w:t xml:space="preserve">Incomplete responses</w:t>
            </w:r>
          </w:p>
          <w:p>
            <w:pPr>
              <w:spacing w:after="160"/>
            </w:pPr>
            <w:r>
              <w:rPr>
                <w:rStyle w:val="row-content-rich-text"/>
              </w:rPr>
              <w:t xml:space="preserve">For 2011–12, approximately 46,000 records did not have a valid waiting time recorded.</w:t>
            </w:r>
          </w:p>
          <w:p>
            <w:pPr>
              <w:spacing w:after="160"/>
            </w:pPr>
            <w:r>
              <w:rPr>
                <w:rStyle w:val="row-content-rich-text"/>
                <w:b/>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83% for all public hospitals.</w:t>
            </w:r>
          </w:p>
          <w:p>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1f4700ee34864">
              <w:r>
                <w:rPr>
                  <w:rStyle w:val="Hyperlink"/>
                </w:rPr>
                <w:t xml:space="preserve">National Non-Admitted Patient Emergency Department Care Database Data Quality Statement:2010-11</w:t>
              </w:r>
            </w:hyperlink>
          </w:p>
          <w:p>
            <w:pPr>
              <w:pStyle w:val="registration-status"/>
              <w:spacing w:before="0" w:after="0"/>
            </w:pPr>
            <w:hyperlink w:history="true" r:id="R6c224e13c871450e">
              <w:r>
                <w:rPr>
                  <w:rStyle w:val="Hyperlink"/>
                  <w:color w:val="244061"/>
                </w:rPr>
                <w:t xml:space="preserve">AIHW Data Quality Statements</w:t>
              </w:r>
            </w:hyperlink>
            <w:r>
              <w:rPr>
                <w:rStyle w:val="row-content"/>
                <w:color w:val="244061"/>
              </w:rPr>
              <w:t xml:space="preserve">, Superseded 28/09/2012</w:t>
            </w:r>
          </w:p>
          <w:p>
            <w:r>
              <w:br/>
            </w:r>
            <w:r>
              <w:rPr>
                <w:rStyle w:val="row-content"/>
              </w:rPr>
              <w:t xml:space="preserve">Has been superseded by </w:t>
            </w:r>
            <w:hyperlink w:history="true" r:id="R7b4f498944624eaa">
              <w:r>
                <w:rPr>
                  <w:rStyle w:val="Hyperlink"/>
                </w:rPr>
                <w:t xml:space="preserve">National Non-admitted Patient Emergency Department Care Database, 2012-13; Data Quality Statement</w:t>
              </w:r>
            </w:hyperlink>
          </w:p>
          <w:p>
            <w:pPr>
              <w:pStyle w:val="registration-status"/>
              <w:spacing w:before="0" w:after="0"/>
            </w:pPr>
            <w:hyperlink w:history="true" r:id="R67e563aff2c4422a">
              <w:r>
                <w:rPr>
                  <w:rStyle w:val="Hyperlink"/>
                  <w:color w:val="244061"/>
                </w:rPr>
                <w:t xml:space="preserve">AIHW Data Quality Statements</w:t>
              </w:r>
            </w:hyperlink>
            <w:r>
              <w:rPr>
                <w:rStyle w:val="row-content"/>
                <w:color w:val="244061"/>
              </w:rPr>
              <w:t xml:space="preserve">, Superseded 22/10/2014</w:t>
            </w:r>
          </w:p>
          <w:p>
            <w:r>
              <w:br/>
            </w:r>
          </w:p>
        </w:tc>
      </w:tr>
    </w:tbl>
    <w:p>
      <w:r>
        <w:br/>
      </w:r>
    </w:p>
    <w:sectPr>
      <w:footerReference xmlns:r="http://schemas.openxmlformats.org/officeDocument/2006/relationships" w:type="default" r:id="R519455a00ded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d02257d44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455a00ded42fb" /><Relationship Type="http://schemas.openxmlformats.org/officeDocument/2006/relationships/header" Target="/word/header1.xml" Id="Rd716b9315b414a26" /><Relationship Type="http://schemas.openxmlformats.org/officeDocument/2006/relationships/settings" Target="/word/settings.xml" Id="R8b53d9fc7264463f" /><Relationship Type="http://schemas.openxmlformats.org/officeDocument/2006/relationships/styles" Target="/word/styles.xml" Id="R02298b08c0ce4a0c" /><Relationship Type="http://schemas.openxmlformats.org/officeDocument/2006/relationships/numbering" Target="/word/numbering.xml" Id="R419dbf650dca4be1" /><Relationship Type="http://schemas.openxmlformats.org/officeDocument/2006/relationships/hyperlink" Target="https://meteor.aihw.gov.au/RegistrationAuthority/5" TargetMode="External" Id="R5ee4a9183a17439d" /><Relationship Type="http://schemas.openxmlformats.org/officeDocument/2006/relationships/hyperlink" Target="http://www.aihw.gov.au/" TargetMode="External" Id="Rda7734837d41466a" /><Relationship Type="http://schemas.openxmlformats.org/officeDocument/2006/relationships/hyperlink" Target="http://www.aihw.gov.au/nhissc/" TargetMode="External" Id="R8ada5798cbab4c43" /><Relationship Type="http://schemas.openxmlformats.org/officeDocument/2006/relationships/hyperlink" Target="https://meteor.aihw.gov.au/content/182135" TargetMode="External" Id="Rcd8f9186c6d5489a" /><Relationship Type="http://schemas.openxmlformats.org/officeDocument/2006/relationships/hyperlink" Target="http://www.aihw.gov.au/hospitals/" TargetMode="External" Id="Rf67e7024201c45ce" /><Relationship Type="http://schemas.openxmlformats.org/officeDocument/2006/relationships/hyperlink" Target="https://meteor.aihw.gov.au/content/181162" TargetMode="External" Id="Ra76e44e8a1124686" /><Relationship Type="http://schemas.openxmlformats.org/officeDocument/2006/relationships/hyperlink" Target="http://www.aihw.gov.au/publication-detail/?id=6442468385" TargetMode="External" Id="Re219f31f5e544f6b" /><Relationship Type="http://schemas.openxmlformats.org/officeDocument/2006/relationships/hyperlink" Target="https://meteor.aihw.gov.au/content/511369" TargetMode="External" Id="R5641f4700ee34864" /><Relationship Type="http://schemas.openxmlformats.org/officeDocument/2006/relationships/hyperlink" Target="https://meteor.aihw.gov.au/RegistrationAuthority/5" TargetMode="External" Id="R6c224e13c871450e" /><Relationship Type="http://schemas.openxmlformats.org/officeDocument/2006/relationships/hyperlink" Target="https://meteor.aihw.gov.au/content/546749" TargetMode="External" Id="R7b4f498944624eaa" /><Relationship Type="http://schemas.openxmlformats.org/officeDocument/2006/relationships/hyperlink" Target="https://meteor.aihw.gov.au/RegistrationAuthority/5" TargetMode="External" Id="R67e563aff2c4422a" /></Relationships>
</file>

<file path=word/_rels/header1.xml.rels>&#65279;<?xml version="1.0" encoding="utf-8"?><Relationships xmlns="http://schemas.openxmlformats.org/package/2006/relationships"><Relationship Type="http://schemas.openxmlformats.org/officeDocument/2006/relationships/image" Target="/media/image.png" Id="Rbccd02257d44455d" /></Relationships>
</file>