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6c3b812d99f4666"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16-Potentially avoidable deaths,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16-Potentially avoidable deaths,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16-Potentially avoidable deaths,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9cdd067faa42d1">
              <w:r>
                <w:rPr>
                  <w:rStyle w:val="Hyperlink"/>
                  <w:color w:val="244061"/>
                </w:rPr>
                <w:t xml:space="preserve">Health</w:t>
              </w:r>
            </w:hyperlink>
            <w:r>
              <w:rPr>
                <w:rStyle w:val="row-content"/>
                <w:color w:val="244061"/>
              </w:rPr>
              <w:t xml:space="preserve">, Superseded 30/04/2014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Deaths that are potentially avoidable within the present health system:</w:t>
            </w:r>
            <w:r>
              <w:br/>
            </w:r>
            <w:r>
              <w:rPr>
                <w:rStyle w:val="row-content-rich-text"/>
              </w:rPr>
              <w:t xml:space="preserve">• potentially preventable deaths are those amenable to screening and primary prevention, such as immunisation</w:t>
            </w:r>
            <w:r>
              <w:br/>
            </w:r>
            <w:r>
              <w:rPr>
                <w:rStyle w:val="row-content-rich-text"/>
              </w:rPr>
              <w:t xml:space="preserve">• deaths from potentially treatable conditions are those amenable to therapeutic interventions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0ee09846df4187">
              <w:r>
                <w:rPr>
                  <w:rStyle w:val="Hyperlink"/>
                </w:rPr>
                <w:t xml:space="preserve">National Healthcare Agreement (2013)</w:t>
              </w:r>
            </w:hyperlink>
          </w:p>
          <w:p>
            <w:pPr>
              <w:spacing w:before="0" w:after="0"/>
            </w:pPr>
            <w:r>
              <w:rPr>
                <w:rStyle w:val="row-content"/>
                <w:color w:val="244061"/>
              </w:rPr>
              <w:t xml:space="preserve">       </w:t>
            </w:r>
            <w:hyperlink w:history="true" r:id="R57e404542a6a4d86">
              <w:r>
                <w:rPr>
                  <w:rStyle w:val="Hyperlink"/>
                  <w:color w:val="244061"/>
                </w:rPr>
                <w:t xml:space="preserve">Health</w:t>
              </w:r>
            </w:hyperlink>
            <w:r>
              <w:rPr>
                <w:rStyle w:val="row-content"/>
                <w:color w:val="244061"/>
              </w:rPr>
              <w:t xml:space="preserve">, Superseded 30/04/2014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444c12a4831d47d7">
              <w:r>
                <w:rPr>
                  <w:rStyle w:val="Hyperlink"/>
                </w:rPr>
                <w:t xml:space="preserve">Primary and Community Health</w:t>
              </w:r>
            </w:hyperlink>
          </w:p>
          <w:p>
            <w:pPr>
              <w:spacing w:before="0" w:after="0"/>
            </w:pPr>
            <w:r>
              <w:rPr>
                <w:rStyle w:val="row-content"/>
                <w:color w:val="244061"/>
              </w:rPr>
              <w:t xml:space="preserve">       </w:t>
            </w:r>
            <w:hyperlink w:history="true" r:id="R0ea5ea9b86664ad5">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f9476dff8d942cb">
              <w:r>
                <w:rPr>
                  <w:rStyle w:val="Hyperlink"/>
                </w:rPr>
                <w:t xml:space="preserve">National Healthcare Agreement: PI 16-Potentially avoidable deaths, 2013 QS</w:t>
              </w:r>
            </w:hyperlink>
          </w:p>
          <w:p>
            <w:pPr>
              <w:spacing w:before="0" w:after="0"/>
            </w:pPr>
            <w:r>
              <w:rPr>
                <w:rStyle w:val="row-content"/>
                <w:color w:val="244061"/>
              </w:rPr>
              <w:t xml:space="preserve">       </w:t>
            </w:r>
            <w:hyperlink w:history="true" r:id="R612e6610e3124248">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Deaths are defined as avoidable in the context of the present health system.</w:t>
            </w:r>
          </w:p>
          <w:p>
            <w:pPr>
              <w:spacing w:after="160"/>
            </w:pPr>
            <w:r>
              <w:rPr>
                <w:rStyle w:val="row-content-rich-text"/>
              </w:rPr>
              <w:t xml:space="preserve">International Classification of Diseases (ICD-10) codes in scope are as specified below:</w:t>
            </w:r>
          </w:p>
          <w:p>
            <w:pPr>
              <w:spacing w:after="160"/>
            </w:pPr>
            <w:r>
              <w:rPr>
                <w:rStyle w:val="row-content-rich-text"/>
              </w:rPr>
              <w:t xml:space="preserve"> </w:t>
            </w:r>
          </w:p>
          <w:tbl>
            <w:tblPr>
              <w:tblStyle w:val="TableGrid"/>
              <w:tblW w:w="5000" w:type="pct"/>
              <w:tblBorders>
                <w:top w:val="none"/>
                <w:left w:val="none"/>
                <w:bottom w:val="none"/>
                <w:right w:val="none"/>
                <w:insideH w:val="none"/>
                <w:insideV w:val="none"/>
              </w:tblBorders>
              <w:tblLayout w:type="autofit"/>
            </w:tblPr>
            <w:tblGrid>
              <w:gridCol/>
              <w:gridCol/>
              <w:gridCol/>
              <w:gridCol/>
              <w:gridCol/>
            </w:tblGrid>
            <w:tr>
              <w:trPr/>
              <w:tc>
                <w:tcPr>
                  <w:tcW w:w="2450" w:type="pct"/>
                  <w:vAlign w:val="top"/>
                </w:tcPr>
                <w:p>
                  <w:pPr/>
                  <w:r>
                    <w:rPr>
                      <w:rStyle w:val="row-content-rich-text"/>
                      <w:b/>
                    </w:rPr>
                    <w:t xml:space="preserve">Cause of death group</w:t>
                  </w:r>
                </w:p>
              </w:tc>
              <w:tc>
                <w:tcPr>
                  <w:tcW w:w="1700" w:type="pct"/>
                  <w:vAlign w:val="top"/>
                </w:tcPr>
                <w:p>
                  <w:r>
                    <w:rPr>
                      <w:b/>
                    </w:rPr>
                    <w:t xml:space="preserve">ICD-10 Codes</w:t>
                  </w:r>
                </w:p>
              </w:tc>
              <w:tc>
                <w:tcPr>
                  <w:tcW w:w="250" w:type="pct"/>
                  <w:vAlign w:val="top"/>
                </w:tcPr>
                <w:p>
                  <w:r>
                    <w:rPr>
                      <w:b/>
                    </w:rPr>
                    <w:t xml:space="preserve">Limits (age, sex)</w:t>
                  </w:r>
                </w:p>
              </w:tc>
              <w:tc>
                <w:tcPr>
                  <w:tcW w:w="200" w:type="pct"/>
                  <w:vAlign w:val="top"/>
                </w:tcPr>
                <w:p>
                  <w:r>
                    <w:rPr>
                      <w:b/>
                    </w:rPr>
                    <w:t xml:space="preserve">Treatable </w:t>
                  </w:r>
                </w:p>
              </w:tc>
              <w:tc>
                <w:tcPr>
                  <w:tcW w:w="200" w:type="pct"/>
                  <w:vAlign w:val="top"/>
                </w:tcPr>
                <w:p>
                  <w:r>
                    <w:rPr>
                      <w:b/>
                    </w:rPr>
                    <w:t xml:space="preserve"> Preventable</w:t>
                  </w:r>
                </w:p>
              </w:tc>
            </w:tr>
            <w:tr>
              <w:trPr/>
              <w:tc>
                <w:tcPr>
                  <w:tcW w:w="2450" w:type="pct"/>
                  <w:vAlign w:val="top"/>
                </w:tcPr>
                <w:p>
                  <w:r>
                    <w:rPr>
                      <w:b/>
                    </w:rPr>
                    <w:t xml:space="preserve">Infections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Tuberculosis</w:t>
                  </w:r>
                </w:p>
              </w:tc>
              <w:tc>
                <w:tcPr>
                  <w:tcW w:w="1700" w:type="pct"/>
                  <w:vAlign w:val="top"/>
                </w:tcPr>
                <w:p>
                  <w:r>
                    <w:t xml:space="preserve">A15–A19, B90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Selected invasive bacterial and protozoal infections</w:t>
                  </w:r>
                </w:p>
              </w:tc>
              <w:tc>
                <w:tcPr>
                  <w:tcW w:w="1700" w:type="pct"/>
                  <w:vAlign w:val="top"/>
                </w:tcPr>
                <w:p>
                  <w:r>
                    <w:t xml:space="preserve">A38–A41, A46, A48.1 B50–B54, G00,G03, J02.0, J13–J15, J18, L03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Hepatitis</w:t>
                  </w:r>
                </w:p>
              </w:tc>
              <w:tc>
                <w:tcPr>
                  <w:tcW w:w="1700" w:type="pct"/>
                  <w:vAlign w:val="top"/>
                </w:tcPr>
                <w:p>
                  <w:r>
                    <w:t xml:space="preserve">B15–B19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HIV/AIDS</w:t>
                  </w:r>
                </w:p>
              </w:tc>
              <w:tc>
                <w:tcPr>
                  <w:tcW w:w="1700" w:type="pct"/>
                  <w:vAlign w:val="top"/>
                </w:tcPr>
                <w:p>
                  <w:r>
                    <w:t xml:space="preserve">B20–B24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Viral pneumonia and influenza</w:t>
                  </w:r>
                </w:p>
              </w:tc>
              <w:tc>
                <w:tcPr>
                  <w:tcW w:w="1700" w:type="pct"/>
                  <w:vAlign w:val="top"/>
                </w:tcPr>
                <w:p>
                  <w:r>
                    <w:t xml:space="preserve">J10, J12, J21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Enteritis and other diarrhoeal disease</w:t>
                  </w:r>
                </w:p>
              </w:tc>
              <w:tc>
                <w:tcPr>
                  <w:tcW w:w="1700" w:type="pct"/>
                  <w:vAlign w:val="top"/>
                </w:tcPr>
                <w:p>
                  <w:r>
                    <w:t xml:space="preserve">A00–A09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Childhood vaccine-preventable diseases</w:t>
                  </w:r>
                </w:p>
              </w:tc>
              <w:tc>
                <w:tcPr>
                  <w:tcW w:w="1700" w:type="pct"/>
                  <w:vAlign w:val="top"/>
                </w:tcPr>
                <w:p>
                  <w:r>
                    <w:t xml:space="preserve">A35–A37, A49.1, A49.2, A80, B01, B05–B06, J11</w:t>
                  </w:r>
                </w:p>
              </w:tc>
              <w:tc>
                <w:tcPr>
                  <w:tcW w:w="250" w:type="pct"/>
                  <w:vAlign w:val="top"/>
                </w:tcPr>
                <w:p>
                  <w:r>
                    <w:t xml:space="preserve">0–14</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Sexually transmitted diseases, except HIV/AIDS</w:t>
                  </w:r>
                </w:p>
              </w:tc>
              <w:tc>
                <w:tcPr>
                  <w:tcW w:w="1700" w:type="pct"/>
                  <w:vAlign w:val="top"/>
                </w:tcPr>
                <w:p>
                  <w:r>
                    <w:t xml:space="preserve">A50–A64, M02.3, N34.1, N70–N73, N75.0, N75.1, N76.4, N76.6, O00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Ear infections—otitis media and mastoiditis</w:t>
                  </w:r>
                </w:p>
              </w:tc>
              <w:tc>
                <w:tcPr>
                  <w:tcW w:w="1700" w:type="pct"/>
                  <w:vAlign w:val="top"/>
                </w:tcPr>
                <w:p>
                  <w:r>
                    <w:t xml:space="preserve">H65–H70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Upper respiratory tract infection</w:t>
                  </w:r>
                </w:p>
              </w:tc>
              <w:tc>
                <w:tcPr>
                  <w:tcW w:w="1700" w:type="pct"/>
                  <w:vAlign w:val="top"/>
                </w:tcPr>
                <w:p>
                  <w:r>
                    <w:t xml:space="preserve">J00–J06, except for J02.0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Cancer</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Lip, oral cavity and pharynx</w:t>
                  </w:r>
                </w:p>
              </w:tc>
              <w:tc>
                <w:tcPr>
                  <w:tcW w:w="1700" w:type="pct"/>
                  <w:vAlign w:val="top"/>
                </w:tcPr>
                <w:p>
                  <w:r>
                    <w:t xml:space="preserve">C00–C14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Oesophagus</w:t>
                  </w:r>
                </w:p>
              </w:tc>
              <w:tc>
                <w:tcPr>
                  <w:tcW w:w="1700" w:type="pct"/>
                  <w:vAlign w:val="top"/>
                </w:tcPr>
                <w:p>
                  <w:r>
                    <w:t xml:space="preserve">C15</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Stomach</w:t>
                  </w:r>
                </w:p>
              </w:tc>
              <w:tc>
                <w:tcPr>
                  <w:tcW w:w="1700" w:type="pct"/>
                  <w:vAlign w:val="top"/>
                </w:tcPr>
                <w:p>
                  <w:r>
                    <w:t xml:space="preserve">C16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Colorectal</w:t>
                  </w:r>
                </w:p>
              </w:tc>
              <w:tc>
                <w:tcPr>
                  <w:tcW w:w="1700" w:type="pct"/>
                  <w:vAlign w:val="top"/>
                </w:tcPr>
                <w:p>
                  <w:r>
                    <w:t xml:space="preserve">C18–C21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Liver</w:t>
                  </w:r>
                </w:p>
              </w:tc>
              <w:tc>
                <w:tcPr>
                  <w:tcW w:w="1700" w:type="pct"/>
                  <w:vAlign w:val="top"/>
                </w:tcPr>
                <w:p>
                  <w:r>
                    <w:t xml:space="preserve">C22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Lung</w:t>
                  </w:r>
                </w:p>
              </w:tc>
              <w:tc>
                <w:tcPr>
                  <w:tcW w:w="1700" w:type="pct"/>
                  <w:vAlign w:val="top"/>
                </w:tcPr>
                <w:p>
                  <w:r>
                    <w:t xml:space="preserve">C33, C34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Melanoma of skin</w:t>
                  </w:r>
                </w:p>
              </w:tc>
              <w:tc>
                <w:tcPr>
                  <w:tcW w:w="1700" w:type="pct"/>
                  <w:vAlign w:val="top"/>
                </w:tcPr>
                <w:p>
                  <w:r>
                    <w:t xml:space="preserve">C43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Non-melanocytic skin</w:t>
                  </w:r>
                </w:p>
              </w:tc>
              <w:tc>
                <w:tcPr>
                  <w:tcW w:w="1700" w:type="pct"/>
                  <w:vAlign w:val="top"/>
                </w:tcPr>
                <w:p>
                  <w:r>
                    <w:t xml:space="preserve">C44</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Breast</w:t>
                  </w:r>
                </w:p>
              </w:tc>
              <w:tc>
                <w:tcPr>
                  <w:tcW w:w="1700" w:type="pct"/>
                  <w:vAlign w:val="top"/>
                </w:tcPr>
                <w:p>
                  <w:r>
                    <w:t xml:space="preserve">C50</w:t>
                  </w:r>
                </w:p>
              </w:tc>
              <w:tc>
                <w:tcPr>
                  <w:tcW w:w="250" w:type="pct"/>
                  <w:vAlign w:val="top"/>
                </w:tcPr>
                <w:p>
                  <w:r>
                    <w:t xml:space="preserve">Female</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Cervix</w:t>
                  </w:r>
                </w:p>
              </w:tc>
              <w:tc>
                <w:tcPr>
                  <w:tcW w:w="1700" w:type="pct"/>
                  <w:vAlign w:val="top"/>
                </w:tcPr>
                <w:p>
                  <w:r>
                    <w:t xml:space="preserve">C53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Uterus</w:t>
                  </w:r>
                </w:p>
              </w:tc>
              <w:tc>
                <w:tcPr>
                  <w:tcW w:w="1700" w:type="pct"/>
                  <w:vAlign w:val="top"/>
                </w:tcPr>
                <w:p>
                  <w:r>
                    <w:t xml:space="preserve">C54, C55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Bladder</w:t>
                  </w:r>
                </w:p>
              </w:tc>
              <w:tc>
                <w:tcPr>
                  <w:tcW w:w="1700" w:type="pct"/>
                  <w:vAlign w:val="top"/>
                </w:tcPr>
                <w:p>
                  <w:r>
                    <w:t xml:space="preserve">C67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Thyroid</w:t>
                  </w:r>
                </w:p>
              </w:tc>
              <w:tc>
                <w:tcPr>
                  <w:tcW w:w="1700" w:type="pct"/>
                  <w:vAlign w:val="top"/>
                </w:tcPr>
                <w:p>
                  <w:r>
                    <w:t xml:space="preserve">C73</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Hodgkin’s disease</w:t>
                  </w:r>
                </w:p>
              </w:tc>
              <w:tc>
                <w:tcPr>
                  <w:tcW w:w="1700" w:type="pct"/>
                  <w:vAlign w:val="top"/>
                </w:tcPr>
                <w:p>
                  <w:r>
                    <w:t xml:space="preserve">C81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Lymphoid leukaemia—acute/chronic</w:t>
                  </w:r>
                </w:p>
              </w:tc>
              <w:tc>
                <w:tcPr>
                  <w:tcW w:w="1700" w:type="pct"/>
                  <w:vAlign w:val="top"/>
                </w:tcPr>
                <w:p>
                  <w:r>
                    <w:t xml:space="preserve">C91.0, C91.1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Benign cancers</w:t>
                  </w:r>
                </w:p>
              </w:tc>
              <w:tc>
                <w:tcPr>
                  <w:tcW w:w="1700" w:type="pct"/>
                  <w:vAlign w:val="top"/>
                </w:tcPr>
                <w:p>
                  <w:r>
                    <w:t xml:space="preserve">D10–D36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Malignant neoplasm of testis</w:t>
                  </w:r>
                </w:p>
              </w:tc>
              <w:tc>
                <w:tcPr>
                  <w:tcW w:w="1700" w:type="pct"/>
                  <w:vAlign w:val="top"/>
                </w:tcPr>
                <w:p>
                  <w:r>
                    <w:t xml:space="preserve">C62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Malignant neoplasm of eye and adnexa</w:t>
                  </w:r>
                </w:p>
              </w:tc>
              <w:tc>
                <w:tcPr>
                  <w:tcW w:w="1700" w:type="pct"/>
                  <w:vAlign w:val="top"/>
                </w:tcPr>
                <w:p>
                  <w:r>
                    <w:t xml:space="preserve">C69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Diabetes</w:t>
                  </w:r>
                </w:p>
              </w:tc>
              <w:tc>
                <w:tcPr>
                  <w:tcW w:w="1700" w:type="pct"/>
                  <w:vAlign w:val="top"/>
                </w:tcPr>
                <w:p>
                  <w:r>
                    <w:t xml:space="preserve">E10–E14</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rPr>
                      <w:b/>
                    </w:rPr>
                    <w:t xml:space="preserve">Drug use disorders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Alcohol related disease</w:t>
                  </w:r>
                </w:p>
              </w:tc>
              <w:tc>
                <w:tcPr>
                  <w:tcW w:w="1700" w:type="pct"/>
                  <w:vAlign w:val="top"/>
                </w:tcPr>
                <w:p>
                  <w:r>
                    <w:t xml:space="preserve">F10, I42.6, K29.2, K70</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Illicit drug use disorders</w:t>
                  </w:r>
                </w:p>
              </w:tc>
              <w:tc>
                <w:tcPr>
                  <w:tcW w:w="1700" w:type="pct"/>
                  <w:vAlign w:val="top"/>
                </w:tcPr>
                <w:p>
                  <w:r>
                    <w:t xml:space="preserve">F11–F16, F18, F19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Epilepsy</w:t>
                  </w:r>
                </w:p>
              </w:tc>
              <w:tc>
                <w:tcPr>
                  <w:tcW w:w="1700" w:type="pct"/>
                  <w:vAlign w:val="top"/>
                </w:tcPr>
                <w:p>
                  <w:r>
                    <w:t xml:space="preserve">G40, G41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circulatory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Rheumatic and other valvular heart disease</w:t>
                  </w:r>
                </w:p>
              </w:tc>
              <w:tc>
                <w:tcPr>
                  <w:tcW w:w="1700" w:type="pct"/>
                  <w:vAlign w:val="top"/>
                </w:tcPr>
                <w:p>
                  <w:r>
                    <w:t xml:space="preserve">I01–I09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Hypertensive heart disease</w:t>
                  </w:r>
                </w:p>
              </w:tc>
              <w:tc>
                <w:tcPr>
                  <w:tcW w:w="1700" w:type="pct"/>
                  <w:vAlign w:val="top"/>
                </w:tcPr>
                <w:p>
                  <w:r>
                    <w:t xml:space="preserve">I11</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Ischaemic heart disease</w:t>
                  </w:r>
                </w:p>
              </w:tc>
              <w:tc>
                <w:tcPr>
                  <w:tcW w:w="1700" w:type="pct"/>
                  <w:vAlign w:val="top"/>
                </w:tcPr>
                <w:p>
                  <w:r>
                    <w:t xml:space="preserve">I20–I25</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Cerebrovascular diseases</w:t>
                  </w:r>
                </w:p>
              </w:tc>
              <w:tc>
                <w:tcPr>
                  <w:tcW w:w="1700" w:type="pct"/>
                  <w:vAlign w:val="top"/>
                </w:tcPr>
                <w:p>
                  <w:r>
                    <w:t xml:space="preserve">I60–I69</w:t>
                  </w:r>
                </w:p>
              </w:tc>
              <w:tc>
                <w:tcPr>
                  <w:tcW w:w="250" w:type="pct"/>
                  <w:vAlign w:val="top"/>
                </w:tcPr>
                <w:p>
                  <w:r>
                    <w:t xml:space="preserve"> </w:t>
                  </w:r>
                </w:p>
              </w:tc>
              <w:tc>
                <w:tcPr>
                  <w:tcW w:w="200" w:type="pct"/>
                  <w:vAlign w:val="top"/>
                </w:tcPr>
                <w:p>
                  <w:r>
                    <w:t xml:space="preserve">X (0.5)</w:t>
                  </w:r>
                </w:p>
              </w:tc>
              <w:tc>
                <w:tcPr>
                  <w:tcW w:w="200" w:type="pct"/>
                  <w:vAlign w:val="top"/>
                </w:tcPr>
                <w:p>
                  <w:r>
                    <w:t xml:space="preserve">X (0.5)</w:t>
                  </w:r>
                </w:p>
              </w:tc>
            </w:tr>
            <w:tr>
              <w:trPr/>
              <w:tc>
                <w:tcPr>
                  <w:tcW w:w="2450" w:type="pct"/>
                  <w:vAlign w:val="top"/>
                </w:tcPr>
                <w:p>
                  <w:r>
                    <w:t xml:space="preserve">Aortic aneurysm</w:t>
                  </w:r>
                </w:p>
              </w:tc>
              <w:tc>
                <w:tcPr>
                  <w:tcW w:w="1700" w:type="pct"/>
                  <w:vAlign w:val="top"/>
                </w:tcPr>
                <w:p>
                  <w:r>
                    <w:t xml:space="preserve">I71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Phlebitis and thrombophlebitis of other deep vessels of lower extremities </w:t>
                  </w:r>
                </w:p>
              </w:tc>
              <w:tc>
                <w:tcPr>
                  <w:tcW w:w="1700" w:type="pct"/>
                  <w:vAlign w:val="top"/>
                </w:tcPr>
                <w:p>
                  <w:r>
                    <w:t xml:space="preserve">I80.2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Pulmonary embolism</w:t>
                  </w:r>
                </w:p>
              </w:tc>
              <w:tc>
                <w:tcPr>
                  <w:tcW w:w="1700" w:type="pct"/>
                  <w:vAlign w:val="top"/>
                </w:tcPr>
                <w:p>
                  <w:r>
                    <w:t xml:space="preserve">I26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Diseases of the genitourinary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Nephritis and nephrosis</w:t>
                  </w:r>
                </w:p>
              </w:tc>
              <w:tc>
                <w:tcPr>
                  <w:tcW w:w="1700" w:type="pct"/>
                  <w:vAlign w:val="top"/>
                </w:tcPr>
                <w:p>
                  <w:r>
                    <w:t xml:space="preserve">I12, I13, N00–N07, N17–N19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Obstructive uropathy &amp; prostatic hyperplasia</w:t>
                  </w:r>
                </w:p>
              </w:tc>
              <w:tc>
                <w:tcPr>
                  <w:tcW w:w="1700" w:type="pct"/>
                  <w:vAlign w:val="top"/>
                </w:tcPr>
                <w:p>
                  <w:r>
                    <w:t xml:space="preserve">N13, N20, N21, N35, N40</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respiratory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COPD</w:t>
                  </w:r>
                </w:p>
              </w:tc>
              <w:tc>
                <w:tcPr>
                  <w:tcW w:w="1700" w:type="pct"/>
                  <w:vAlign w:val="top"/>
                </w:tcPr>
                <w:p>
                  <w:r>
                    <w:t xml:space="preserve">J40–J44</w:t>
                  </w:r>
                </w:p>
              </w:tc>
              <w:tc>
                <w:tcPr>
                  <w:tcW w:w="250" w:type="pct"/>
                  <w:vAlign w:val="top"/>
                </w:tcPr>
                <w:p>
                  <w:r>
                    <w:t xml:space="preserve">45–74 years</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Asthma</w:t>
                  </w:r>
                </w:p>
              </w:tc>
              <w:tc>
                <w:tcPr>
                  <w:tcW w:w="1700" w:type="pct"/>
                  <w:vAlign w:val="top"/>
                </w:tcPr>
                <w:p>
                  <w:r>
                    <w:t xml:space="preserve">J45, J46</w:t>
                  </w:r>
                </w:p>
              </w:tc>
              <w:tc>
                <w:tcPr>
                  <w:tcW w:w="250" w:type="pct"/>
                  <w:vAlign w:val="top"/>
                </w:tcPr>
                <w:p>
                  <w:r>
                    <w:t xml:space="preserve">0–44 years</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Diseases of the digestive system</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Peptic ulcer disease</w:t>
                  </w:r>
                </w:p>
              </w:tc>
              <w:tc>
                <w:tcPr>
                  <w:tcW w:w="1700" w:type="pct"/>
                  <w:vAlign w:val="top"/>
                </w:tcPr>
                <w:p>
                  <w:r>
                    <w:t xml:space="preserve">K25–K28</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Diseases of appendix; hernia; disorders of gallbladder, biliary tract, and pancreas </w:t>
                  </w:r>
                </w:p>
              </w:tc>
              <w:tc>
                <w:tcPr>
                  <w:tcW w:w="1700" w:type="pct"/>
                  <w:vAlign w:val="top"/>
                </w:tcPr>
                <w:p>
                  <w:r>
                    <w:t xml:space="preserve">K35–K38, K40–K46, K80–K83, K85, K86</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Chronic liver disease (excluding alcohol-related disease)</w:t>
                  </w:r>
                </w:p>
              </w:tc>
              <w:tc>
                <w:tcPr>
                  <w:tcW w:w="1700" w:type="pct"/>
                  <w:vAlign w:val="top"/>
                </w:tcPr>
                <w:p>
                  <w:r>
                    <w:t xml:space="preserve">K73, K74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Maternal &amp; infant causes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Birth defects</w:t>
                  </w:r>
                </w:p>
              </w:tc>
              <w:tc>
                <w:tcPr>
                  <w:tcW w:w="1700" w:type="pct"/>
                  <w:vAlign w:val="top"/>
                </w:tcPr>
                <w:p>
                  <w:r>
                    <w:t xml:space="preserve">H31.1, P00, P04, Q00–Q99</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Complications of perinatal period</w:t>
                  </w:r>
                </w:p>
              </w:tc>
              <w:tc>
                <w:tcPr>
                  <w:tcW w:w="1700" w:type="pct"/>
                  <w:vAlign w:val="top"/>
                </w:tcPr>
                <w:p>
                  <w:r>
                    <w:t xml:space="preserve">P03, P05–P95</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rPr>
                      <w:b/>
                    </w:rPr>
                    <w:t xml:space="preserve">Unintentional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Road traffic injuries</w:t>
                  </w:r>
                </w:p>
              </w:tc>
              <w:tc>
                <w:tcPr>
                  <w:tcW w:w="1700" w:type="pct"/>
                  <w:vAlign w:val="top"/>
                </w:tcPr>
                <w:p>
                  <w:r>
                    <w:t xml:space="preserve">V01–V04, V06, V09–V80, V87, V89, V99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Falls</w:t>
                  </w:r>
                </w:p>
              </w:tc>
              <w:tc>
                <w:tcPr>
                  <w:tcW w:w="1700" w:type="pct"/>
                  <w:vAlign w:val="top"/>
                </w:tcPr>
                <w:p>
                  <w:r>
                    <w:t xml:space="preserve">W00–W19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Fires, burns</w:t>
                  </w:r>
                </w:p>
              </w:tc>
              <w:tc>
                <w:tcPr>
                  <w:tcW w:w="1700" w:type="pct"/>
                  <w:vAlign w:val="top"/>
                </w:tcPr>
                <w:p>
                  <w:r>
                    <w:t xml:space="preserve">X00–X09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Accidental poisonings</w:t>
                  </w:r>
                </w:p>
              </w:tc>
              <w:tc>
                <w:tcPr>
                  <w:tcW w:w="1700" w:type="pct"/>
                  <w:vAlign w:val="top"/>
                </w:tcPr>
                <w:p>
                  <w:r>
                    <w:t xml:space="preserve">X40–X49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Drownings</w:t>
                  </w:r>
                </w:p>
              </w:tc>
              <w:tc>
                <w:tcPr>
                  <w:tcW w:w="1700" w:type="pct"/>
                  <w:vAlign w:val="top"/>
                </w:tcPr>
                <w:p>
                  <w:r>
                    <w:t xml:space="preserve">W65–W74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War</w:t>
                  </w:r>
                </w:p>
              </w:tc>
              <w:tc>
                <w:tcPr>
                  <w:tcW w:w="1700" w:type="pct"/>
                  <w:vAlign w:val="top"/>
                </w:tcPr>
                <w:p>
                  <w:r>
                    <w:t xml:space="preserve">Y36</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Intentional injuries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Suicide and self-inflicted injuries</w:t>
                  </w:r>
                </w:p>
              </w:tc>
              <w:tc>
                <w:tcPr>
                  <w:tcW w:w="1700" w:type="pct"/>
                  <w:vAlign w:val="top"/>
                </w:tcPr>
                <w:p>
                  <w:r>
                    <w:t xml:space="preserve">X60–X84, Y87.0, Y10–Y34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Violence</w:t>
                  </w:r>
                </w:p>
              </w:tc>
              <w:tc>
                <w:tcPr>
                  <w:tcW w:w="1700" w:type="pct"/>
                  <w:vAlign w:val="top"/>
                </w:tcPr>
                <w:p>
                  <w:r>
                    <w:t xml:space="preserve">X85–Y09, Y87.1</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rPr>
                      <w:b/>
                    </w:rPr>
                    <w:t xml:space="preserve">Other conditions</w:t>
                  </w:r>
                </w:p>
              </w:tc>
              <w:tc>
                <w:tcPr>
                  <w:tcW w:w="1700" w:type="pct"/>
                  <w:vAlign w:val="top"/>
                </w:tcPr>
                <w:p>
                  <w:r>
                    <w:t xml:space="preserve"> </w:t>
                  </w:r>
                </w:p>
              </w:tc>
              <w:tc>
                <w:tcPr>
                  <w:tcW w:w="250" w:type="pct"/>
                  <w:vAlign w:val="top"/>
                </w:tcPr>
                <w:p>
                  <w:r>
                    <w:t xml:space="preserve"> </w:t>
                  </w:r>
                </w:p>
              </w:tc>
              <w:tc>
                <w:tcPr>
                  <w:tcW w:w="200" w:type="pct"/>
                  <w:vAlign w:val="top"/>
                </w:tcPr>
                <w:p>
                  <w:r>
                    <w:t xml:space="preserve"> </w:t>
                  </w:r>
                </w:p>
              </w:tc>
              <w:tc>
                <w:tcPr>
                  <w:tcW w:w="200" w:type="pct"/>
                  <w:vAlign w:val="top"/>
                </w:tcPr>
                <w:p>
                  <w:r>
                    <w:t xml:space="preserve"> </w:t>
                  </w:r>
                </w:p>
              </w:tc>
            </w:tr>
            <w:tr>
              <w:trPr/>
              <w:tc>
                <w:tcPr>
                  <w:tcW w:w="2450" w:type="pct"/>
                  <w:vAlign w:val="top"/>
                </w:tcPr>
                <w:p>
                  <w:r>
                    <w:t xml:space="preserve">Nutritional deficiency anaemia</w:t>
                  </w:r>
                </w:p>
              </w:tc>
              <w:tc>
                <w:tcPr>
                  <w:tcW w:w="1700" w:type="pct"/>
                  <w:vAlign w:val="top"/>
                </w:tcPr>
                <w:p>
                  <w:r>
                    <w:t xml:space="preserve">D50–D53</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Thyroid disorders</w:t>
                  </w:r>
                </w:p>
              </w:tc>
              <w:tc>
                <w:tcPr>
                  <w:tcW w:w="1700" w:type="pct"/>
                  <w:vAlign w:val="top"/>
                </w:tcPr>
                <w:p>
                  <w:r>
                    <w:t xml:space="preserve">E00–E07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Adrenal disorders</w:t>
                  </w:r>
                </w:p>
              </w:tc>
              <w:tc>
                <w:tcPr>
                  <w:tcW w:w="1700" w:type="pct"/>
                  <w:vAlign w:val="top"/>
                </w:tcPr>
                <w:p>
                  <w:r>
                    <w:t xml:space="preserve">E24, E27</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Congenital metabolic disorders</w:t>
                  </w:r>
                </w:p>
              </w:tc>
              <w:tc>
                <w:tcPr>
                  <w:tcW w:w="1700" w:type="pct"/>
                  <w:vAlign w:val="top"/>
                </w:tcPr>
                <w:p>
                  <w:r>
                    <w:t xml:space="preserve">E25, E70.0, E74.2</w:t>
                  </w:r>
                </w:p>
              </w:tc>
              <w:tc>
                <w:tcPr>
                  <w:tcW w:w="250" w:type="pct"/>
                  <w:vAlign w:val="top"/>
                </w:tcPr>
                <w:p>
                  <w:r>
                    <w:t xml:space="preserve"> </w:t>
                  </w:r>
                </w:p>
              </w:tc>
              <w:tc>
                <w:tcPr>
                  <w:tcW w:w="200" w:type="pct"/>
                  <w:vAlign w:val="top"/>
                </w:tcPr>
                <w:p>
                  <w:r>
                    <w:t xml:space="preserve">X</w:t>
                  </w:r>
                </w:p>
              </w:tc>
              <w:tc>
                <w:tcPr>
                  <w:tcW w:w="200" w:type="pct"/>
                  <w:vAlign w:val="top"/>
                </w:tcPr>
                <w:p>
                  <w:r>
                    <w:t xml:space="preserve"> </w:t>
                  </w:r>
                </w:p>
              </w:tc>
            </w:tr>
            <w:tr>
              <w:trPr/>
              <w:tc>
                <w:tcPr>
                  <w:tcW w:w="2450" w:type="pct"/>
                  <w:vAlign w:val="top"/>
                </w:tcPr>
                <w:p>
                  <w:r>
                    <w:t xml:space="preserve">Osteomyelitis and other osteopathies of bone</w:t>
                  </w:r>
                </w:p>
              </w:tc>
              <w:tc>
                <w:tcPr>
                  <w:tcW w:w="1700" w:type="pct"/>
                  <w:vAlign w:val="top"/>
                </w:tcPr>
                <w:p>
                  <w:r>
                    <w:t xml:space="preserve">M86, M89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Complications of pregnancy, labour or the puerperium</w:t>
                  </w:r>
                </w:p>
              </w:tc>
              <w:tc>
                <w:tcPr>
                  <w:tcW w:w="1700" w:type="pct"/>
                  <w:vAlign w:val="top"/>
                </w:tcPr>
                <w:p>
                  <w:r>
                    <w:t xml:space="preserve">O01–O99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Misadventures to patients during surgical and medical care</w:t>
                  </w:r>
                </w:p>
              </w:tc>
              <w:tc>
                <w:tcPr>
                  <w:tcW w:w="1700" w:type="pct"/>
                  <w:vAlign w:val="top"/>
                </w:tcPr>
                <w:p>
                  <w:r>
                    <w:t xml:space="preserve">Y60–Y69</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Medical devices associated with adverse incidents in diagnostic &amp; therapeutic use</w:t>
                  </w:r>
                </w:p>
              </w:tc>
              <w:tc>
                <w:tcPr>
                  <w:tcW w:w="1700" w:type="pct"/>
                  <w:vAlign w:val="top"/>
                </w:tcPr>
                <w:p>
                  <w:r>
                    <w:t xml:space="preserve">Y70–Y82</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r>
              <w:trPr/>
              <w:tc>
                <w:tcPr>
                  <w:tcW w:w="2450" w:type="pct"/>
                  <w:vAlign w:val="top"/>
                </w:tcPr>
                <w:p>
                  <w:r>
                    <w:t xml:space="preserve">Surgical and other medical procedures as the cause of abnormal reaction of the patient, or of later complication, without mention of misadventure at the time of the procedure</w:t>
                  </w:r>
                </w:p>
              </w:tc>
              <w:tc>
                <w:tcPr>
                  <w:tcW w:w="1700" w:type="pct"/>
                  <w:vAlign w:val="top"/>
                </w:tcPr>
                <w:p>
                  <w:r>
                    <w:t xml:space="preserve">Y83–Y84</w:t>
                  </w:r>
                </w:p>
              </w:tc>
              <w:tc>
                <w:tcPr>
                  <w:tcW w:w="250" w:type="pct"/>
                  <w:vAlign w:val="top"/>
                </w:tcPr>
                <w:p>
                  <w:r>
                    <w:t xml:space="preserve"> </w:t>
                  </w:r>
                </w:p>
              </w:tc>
              <w:tc>
                <w:tcPr>
                  <w:tcW w:w="200" w:type="pct"/>
                  <w:vAlign w:val="top"/>
                </w:tcPr>
                <w:p>
                  <w:r>
                    <w:t xml:space="preserve"> </w:t>
                  </w:r>
                </w:p>
              </w:tc>
              <w:tc>
                <w:tcPr>
                  <w:tcW w:w="200" w:type="pct"/>
                  <w:vAlign w:val="top"/>
                </w:tcPr>
                <w:p>
                  <w:r>
                    <w:t xml:space="preserve">X</w:t>
                  </w:r>
                </w:p>
              </w:tc>
            </w:tr>
          </w:tbl>
          <w:p>
            <w:r>
              <w:t xml:space="preserve"> </w:t>
            </w:r>
          </w:p>
          <w:p>
            <w:r>
              <w:t xml:space="preserve">Rates are directly age-standardised to the 2001 Australian population.</w:t>
            </w:r>
          </w:p>
          <w:p>
            <w:r>
              <w:t xml:space="preserve">Variability bands are to be calculated for single-year rates using the method below.</w:t>
            </w:r>
          </w:p>
          <w:p>
            <w:r>
              <w:t xml:space="preserve">Presented per 100,000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100,000 x (Numerator ÷ Denominator)</w:t>
            </w:r>
          </w:p>
          <w:p>
            <w:pPr>
              <w:spacing w:after="160"/>
            </w:pPr>
            <w:r>
              <w:rPr>
                <w:rStyle w:val="row-content-rich-text"/>
              </w:rPr>
              <w:t xml:space="preserve">Calculated separately for ‘preventable’ and ‘treatable’ categories.</w:t>
            </w:r>
          </w:p>
          <w:p>
            <w:pPr>
              <w:spacing w:after="160"/>
            </w:pPr>
            <w:r>
              <w:rPr>
                <w:rStyle w:val="row-content-rich-text"/>
              </w:rPr>
              <w:t xml:space="preserve">Variability bands are to be calculated for single-year rates using the following method for estimating 95% confidence intervals:</w:t>
            </w:r>
          </w:p>
          <w:p>
            <w:pPr>
              <w:spacing w:after="160"/>
            </w:pPr>
            <w:r>
              <w:rPr>
                <w:rStyle w:val="row-content-rich-text"/>
                <w:i/>
              </w:rPr>
              <w:t xml:space="preserve">Age-standardised rate</w:t>
            </w:r>
          </w:p>
          <w:p>
            <w:hyperlink w:history="true" r:id="R450c2994d2414d8e">
              <w:r>
                <w:drawing>
                  <wp:inline xmlns:wp="http://schemas.openxmlformats.org/drawingml/2006/wordprocessingDrawing" distT="0" distB="0" distL="0" distR="0">
                    <wp:extent cx="1866899" cy="438150"/>
                    <wp:effectExtent l="19050" t="0" r="0" b="0"/>
                    <wp:docPr id="2" name="Picture 2" descr="">
                      <a:hlinkClick xmlns:a="http://schemas.openxmlformats.org/drawingml/2006/main" r:id="R450c2994d2414d8e" toolti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a13c6481ceaa4691"/>
                            <a:srcRect/>
                            <a:stretch>
                              <a:fillRect/>
                            </a:stretch>
                          </pic:blipFill>
                          <pic:spPr bwMode="auto">
                            <a:xfrm>
                              <a:off x="0" y="0"/>
                              <a:ext cx="1866899" cy="438150"/>
                            </a:xfrm>
                            <a:prstGeom prst="rect">
                              <a:avLst/>
                            </a:prstGeom>
                          </pic:spPr>
                        </pic:pic>
                      </a:graphicData>
                    </a:graphic>
                  </wp:inline>
                </w:drawing>
              </w:r>
            </w:hyperlink>
          </w:p>
          <w:p>
            <w:pPr>
              <w:spacing w:after="160"/>
            </w:pPr>
            <w:r>
              <w:rPr>
                <w:rStyle w:val="row-content-rich-text"/>
              </w:rPr>
              <w:t xml:space="preserve">Where </w:t>
            </w:r>
            <w:r>
              <w:rPr>
                <w:rStyle w:val="row-content-rich-text"/>
                <w:i/>
              </w:rPr>
              <w:t xml:space="preserve">w</w:t>
            </w:r>
            <w:r>
              <w:rPr>
                <w:rStyle w:val="row-content-rich-text"/>
                <w:i/>
                <w:vertAlign w:val="subscript"/>
              </w:rPr>
              <w:t xml:space="preserve">i</w:t>
            </w:r>
            <w:r>
              <w:rPr>
                <w:rStyle w:val="row-content-rich-text"/>
              </w:rPr>
              <w:t xml:space="preserve">= the proportion of the standard population in age group </w:t>
            </w:r>
            <w:r>
              <w:rPr>
                <w:rStyle w:val="row-content-rich-text"/>
                <w:i/>
              </w:rPr>
              <w:t xml:space="preserve">i</w:t>
            </w:r>
            <w:r>
              <w:rPr>
                <w:rStyle w:val="row-content-rich-text"/>
              </w:rPr>
              <w:t xml:space="preserve"> </w:t>
            </w:r>
          </w:p>
          <w:p>
            <w:pPr>
              <w:spacing w:after="160"/>
            </w:pPr>
            <w:r>
              <w:rPr>
                <w:rStyle w:val="row-content-rich-text"/>
                <w:i/>
              </w:rPr>
              <w:t xml:space="preserve">d</w:t>
            </w:r>
            <w:r>
              <w:rPr>
                <w:rStyle w:val="row-content-rich-text"/>
              </w:rPr>
              <w:t xml:space="preserve">=the number of deaths in age group </w:t>
            </w:r>
            <w:r>
              <w:rPr>
                <w:rStyle w:val="row-content-rich-text"/>
                <w:i/>
              </w:rPr>
              <w:t xml:space="preserve">i</w:t>
            </w:r>
          </w:p>
          <w:p>
            <w:pPr/>
            <w:r>
              <w:rPr>
                <w:rStyle w:val="row-content-rich-text"/>
                <w:i/>
              </w:rPr>
              <w:t xml:space="preserve">n=</w:t>
            </w:r>
            <w:r>
              <w:rPr>
                <w:rStyle w:val="row-content-rich-text"/>
              </w:rPr>
              <w:t xml:space="preserve">the number of people in the population in age group </w:t>
            </w:r>
            <w:r>
              <w:rPr>
                <w:rStyle w:val="row-content-rich-text"/>
                <w:i/>
              </w:rPr>
              <w:t xml:space="preserve">i</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deaths of persons aged less than 75 categorised as potentially avoidable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65a4bf760614476">
              <w:r>
                <w:rPr>
                  <w:rStyle w:val="Hyperlink"/>
                </w:rPr>
                <w:t xml:space="preserve">Person—underlying cause of death, code (ICD-10 2nd edn) ANN-ANN</w:t>
              </w:r>
            </w:hyperlink>
          </w:p>
          <w:p>
            <w:r>
              <w:rPr>
                <w:rStyle w:val="row-content"/>
                <w:b/>
              </w:rPr>
              <w:t xml:space="preserve">Data Source</w:t>
            </w:r>
          </w:p>
          <w:p>
            <w:hyperlink w:history="true" r:id="Rc288a94c71c44ce5">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less than 75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95a2d1bea2e448cc">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Person—estimated resident population of Australia</w:t>
            </w:r>
          </w:p>
          <w:p>
            <w:r>
              <w:rPr>
                <w:rStyle w:val="row-content"/>
                <w:b/>
              </w:rPr>
              <w:t xml:space="preserve">Data Source</w:t>
            </w:r>
          </w:p>
          <w:p>
            <w:hyperlink w:history="true" r:id="R69ec9e12256544d4">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4a0760d63bcd4a6e">
              <w:r>
                <w:rPr>
                  <w:rStyle w:val="Hyperlink"/>
                </w:rPr>
                <w:t xml:space="preserve">Person—age, total years N[NN]</w:t>
              </w:r>
            </w:hyperlink>
          </w:p>
          <w:p>
            <w:r>
              <w:rPr>
                <w:rStyle w:val="row-content"/>
                <w:b/>
              </w:rPr>
              <w:t xml:space="preserve">Data Source</w:t>
            </w:r>
          </w:p>
          <w:p>
            <w:hyperlink w:history="true" r:id="Rdf62f0d0fa044252">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b/>
                <w:color w:val="000000"/>
              </w:rPr>
              <w:t xml:space="preserve">Data Element / Data Set</w:t>
            </w:r>
          </w:p>
          <w:p>
            <w:hyperlink w:history="true" r:id="R55d5fa500edc475a">
              <w:r>
                <w:rPr>
                  <w:rStyle w:val="Hyperlink"/>
                </w:rPr>
                <w:t xml:space="preserve">Person—age, total years N[NN]</w:t>
              </w:r>
            </w:hyperlink>
          </w:p>
          <w:p>
            <w:r>
              <w:rPr>
                <w:rStyle w:val="row-content"/>
                <w:b/>
              </w:rPr>
              <w:t xml:space="preserve">Data Source</w:t>
            </w:r>
          </w:p>
          <w:p>
            <w:hyperlink w:history="true" r:id="R8b7b752d38234b3f">
              <w:r>
                <w:rPr>
                  <w:rStyle w:val="Hyperlink"/>
                </w:rPr>
                <w:t xml:space="preserve">ABS Indigenous experimental estimates and projections (2001 Census-based)</w:t>
              </w:r>
            </w:hyperlink>
          </w:p>
          <w:p>
            <w:r>
              <w:rPr>
                <w:rStyle w:val="row-content"/>
                <w:b/>
              </w:rPr>
              <w:t xml:space="preserve">Guide for use</w:t>
            </w:r>
          </w:p>
          <w:p>
            <w:r>
              <w:rPr>
                <w:rStyle w:val="row-content"/>
              </w:rPr>
              <w:t xml:space="preserve">Data source type: Census-based plus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2007, 2008, 2009 (resupplied for revision to ABS WA and national Indigenous deaths data), 2010—State and territory, by preventable and treatable categories.</w:t>
            </w:r>
          </w:p>
          <w:p>
            <w:pPr>
              <w:spacing w:after="160"/>
            </w:pPr>
            <w:r>
              <w:rPr>
                <w:rStyle w:val="row-content-rich-text"/>
              </w:rPr>
              <w:t xml:space="preserve">2007, 2008, 2009 (resupplied for revision to ABS WA and national Indigenous death data), 2010—Nationally, by preventable and treatable categories:</w:t>
            </w:r>
          </w:p>
          <w:p>
            <w:pPr>
              <w:pStyle w:val="ListParagraph"/>
              <w:numPr>
                <w:ilvl w:val="0"/>
                <w:numId w:val="2"/>
              </w:numPr>
            </w:pPr>
            <w:r>
              <w:rPr>
                <w:rStyle w:val="row-content-rich-text"/>
              </w:rPr>
              <w:t xml:space="preserve">Indigenous status</w:t>
            </w:r>
          </w:p>
          <w:p>
            <w:pPr>
              <w:spacing w:after="160"/>
            </w:pPr>
            <w:r>
              <w:rPr>
                <w:rStyle w:val="row-content-rich-text"/>
              </w:rPr>
              <w:t xml:space="preserve">2006–2010—State and territory, by preventable and treatable categories, by:</w:t>
            </w:r>
          </w:p>
          <w:p>
            <w:pPr>
              <w:pStyle w:val="ListParagraph"/>
              <w:numPr>
                <w:ilvl w:val="0"/>
                <w:numId w:val="3"/>
              </w:numPr>
            </w:pPr>
            <w:r>
              <w:rPr>
                <w:rStyle w:val="row-content-rich-text"/>
              </w:rPr>
              <w:t xml:space="preserve">Indigenous status</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acceptable—NSW, Qld, SA, WA, 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32f1f2019ef4664">
              <w:r>
                <w:rPr>
                  <w:rStyle w:val="Hyperlink"/>
                </w:rPr>
                <w:t xml:space="preserve">Person—Indigenous status, code N</w:t>
              </w:r>
            </w:hyperlink>
          </w:p>
          <w:p>
            <w:r>
              <w:rPr>
                <w:rStyle w:val="row-content"/>
                <w:b/>
              </w:rPr>
              <w:t xml:space="preserve">Data Source</w:t>
            </w:r>
          </w:p>
          <w:p>
            <w:hyperlink w:history="true" r:id="R05cc8361339d4387">
              <w:r>
                <w:rPr>
                  <w:rStyle w:val="Hyperlink"/>
                </w:rPr>
                <w:t xml:space="preserve">ABS Causes of Death Collection</w:t>
              </w:r>
            </w:hyperlink>
          </w:p>
          <w:p>
            <w:r>
              <w:rPr>
                <w:rStyle w:val="row-content"/>
                <w:b/>
              </w:rPr>
              <w:t xml:space="preserve">Guide for use</w:t>
            </w:r>
          </w:p>
          <w:p>
            <w:r>
              <w:rPr>
                <w:rStyle w:val="row-content"/>
              </w:rPr>
              <w:t xml:space="preserve">Data source type: Registry</w:t>
            </w:r>
          </w:p>
          <w:p>
            <w:r>
              <w:rPr>
                <w:rStyle w:val="row-content"/>
                <w:b/>
                <w:color w:val="000000"/>
              </w:rPr>
              <w:t xml:space="preserve">Data Element / Data Set</w:t>
            </w:r>
          </w:p>
          <w:p>
            <w:hyperlink w:history="true" r:id="Rd30635c925484afe">
              <w:r>
                <w:rPr>
                  <w:rStyle w:val="Hyperlink"/>
                </w:rPr>
                <w:t xml:space="preserve">Person—area of usual residence, geographical location code (ASGC 2007) NNNNN</w:t>
              </w:r>
            </w:hyperlink>
          </w:p>
          <w:p>
            <w:r>
              <w:rPr>
                <w:rStyle w:val="row-content"/>
                <w:b/>
              </w:rPr>
              <w:t xml:space="preserve">Data Source</w:t>
            </w:r>
          </w:p>
          <w:p>
            <w:hyperlink w:history="true" r:id="Raf49178ea58c40fe">
              <w:r>
                <w:rPr>
                  <w:rStyle w:val="Hyperlink"/>
                </w:rPr>
                <w:t xml:space="preserve">ABS Causes of Death Collection</w:t>
              </w:r>
            </w:hyperlink>
          </w:p>
          <w:p>
            <w:r>
              <w:rPr>
                <w:rStyle w:val="row-content"/>
                <w:b/>
              </w:rPr>
              <w:t xml:space="preserve">Guide for use</w:t>
            </w:r>
          </w:p>
          <w:p>
            <w:r>
              <w:rPr>
                <w:rStyle w:val="row-content"/>
              </w:rPr>
              <w:t xml:space="preserve">Data source type: Registry</w:t>
            </w:r>
            <w:r>
              <w:br/>
            </w:r>
            <w:r>
              <w:rPr>
                <w:rStyle w:val="row-content"/>
              </w:rPr>
              <w:t xml:space="preserve">Used for disaggregation by 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2013 Council of Australian Governments (COAG) Reform Council (CRC) report:</w:t>
            </w:r>
          </w:p>
          <w:p>
            <w:pPr>
              <w:pStyle w:val="ListParagraph"/>
              <w:numPr>
                <w:ilvl w:val="0"/>
                <w:numId w:val="4"/>
              </w:numPr>
            </w:pPr>
            <w:r>
              <w:rPr>
                <w:rStyle w:val="row-content-rich-text"/>
              </w:rPr>
              <w:t xml:space="preserve">2010 (Total population)</w:t>
            </w:r>
          </w:p>
          <w:p>
            <w:pPr>
              <w:pStyle w:val="ListParagraph"/>
              <w:numPr>
                <w:ilvl w:val="0"/>
                <w:numId w:val="4"/>
              </w:numPr>
            </w:pPr>
            <w:r>
              <w:rPr>
                <w:rStyle w:val="row-content-rich-text"/>
              </w:rPr>
              <w:t xml:space="preserve">Aggregated data 2006–2010 (Indigenous status)</w:t>
            </w:r>
          </w:p>
          <w:p>
            <w:pPr>
              <w:spacing w:after="160"/>
            </w:pPr>
            <w:r>
              <w:rPr>
                <w:rStyle w:val="row-content-rich-text"/>
              </w:rPr>
              <w:t xml:space="preserve">Due to small number of Indigenous deaths reported each year, 5 year combined data will be reported for the current reporting period.</w:t>
            </w:r>
          </w:p>
          <w:p>
            <w:pPr>
              <w:spacing w:after="160"/>
            </w:pPr>
            <w:r>
              <w:rPr>
                <w:rStyle w:val="row-content-rich-text"/>
              </w:rPr>
              <w:t xml:space="preserve">A system error affected the reporting of WA Aboriginal and Torres Strait Islander death registrations for 2007, 2008 and 2009 which affected the WA and national death rates reported for the 2011 and 2012 CRC reports. These data have been revised for 2013 reporting.</w:t>
            </w:r>
          </w:p>
          <w:p>
            <w:pPr/>
            <w:r>
              <w:rPr>
                <w:rStyle w:val="row-content-rich-text"/>
              </w:rPr>
              <w:t xml:space="preserve">Data by remoteness may be available, pending assessment of data quality.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77415bdc0304976">
              <w:r>
                <w:rPr>
                  <w:rStyle w:val="Hyperlink"/>
                </w:rPr>
                <w:t xml:space="preserve">Deaths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5324a305929e4c3d">
              <w:r>
                <w:rPr>
                  <w:rStyle w:val="Hyperlink"/>
                </w:rPr>
                <w:t xml:space="preserve">ABS Estimated resident population (total population)</w:t>
              </w:r>
            </w:hyperlink>
          </w:p>
          <w:p>
            <w:r>
              <w:rPr>
                <w:rStyle w:val="row-content"/>
                <w:b/>
              </w:rPr>
              <w:t xml:space="preserve">Frequency</w:t>
            </w:r>
          </w:p>
          <w:p>
            <w:r>
              <w:rPr>
                <w:rStyle w:val="row-content"/>
              </w:rPr>
              <w:t xml:space="preserve">Quarterly</w:t>
            </w:r>
          </w:p>
          <w:p>
            <w:r>
              <w:rPr>
                <w:rStyle w:val="row-content"/>
                <w:b/>
              </w:rPr>
              <w:t xml:space="preserve">Data quality statement</w:t>
            </w:r>
          </w:p>
          <w:p>
            <w:hyperlink w:history="true" r:id="R98027456510345df">
              <w:r>
                <w:rPr>
                  <w:rStyle w:val="Hyperlink"/>
                </w:rPr>
                <w:t xml:space="preserve">ABS Estimated resident population (total population), QS</w:t>
              </w:r>
            </w:hyperlink>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77203749c1df4dc5">
              <w:r>
                <w:rPr>
                  <w:rStyle w:val="Hyperlink"/>
                </w:rPr>
                <w:t xml:space="preserve">ABS Causes of Death Collection</w:t>
              </w:r>
            </w:hyperlink>
          </w:p>
          <w:p>
            <w:r>
              <w:rPr>
                <w:rStyle w:val="row-content"/>
                <w:b/>
              </w:rPr>
              <w:t xml:space="preserve">Frequency</w:t>
            </w:r>
          </w:p>
          <w:p>
            <w:r>
              <w:rPr>
                <w:rStyle w:val="row-content"/>
              </w:rPr>
              <w:t xml:space="preserve">Annual</w:t>
            </w:r>
          </w:p>
          <w:p>
            <w:r>
              <w:rPr>
                <w:rStyle w:val="row-content"/>
                <w:b/>
              </w:rPr>
              <w:t xml:space="preserve">Data quality statement</w:t>
            </w:r>
          </w:p>
          <w:p>
            <w:hyperlink w:history="true" r:id="R97a5c67ad0394379">
              <w:r>
                <w:rPr>
                  <w:rStyle w:val="Hyperlink"/>
                </w:rPr>
                <w:t xml:space="preserve">ABS causes of death collection, QS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fb4eda1f75c4332">
              <w:r>
                <w:rPr>
                  <w:rStyle w:val="Hyperlink"/>
                </w:rPr>
                <w:t xml:space="preserve">ABS Indigenous experimental estimates and projections (2001 Census-based)</w:t>
              </w:r>
            </w:hyperlink>
          </w:p>
          <w:p>
            <w:r>
              <w:rPr>
                <w:rStyle w:val="row-content"/>
                <w:b/>
              </w:rPr>
              <w:t xml:space="preserve">Frequency</w:t>
            </w:r>
          </w:p>
          <w:p>
            <w:r>
              <w:rPr>
                <w:rStyle w:val="row-content"/>
              </w:rPr>
              <w:t xml:space="preserve">Periodic</w:t>
            </w:r>
          </w:p>
          <w:p>
            <w:r>
              <w:rPr>
                <w:rStyle w:val="row-content"/>
                <w:b/>
              </w:rPr>
              <w:t xml:space="preserve">Data quality statement</w:t>
            </w:r>
          </w:p>
          <w:p>
            <w:hyperlink w:history="true" r:id="R167410b027c94e3b">
              <w:r>
                <w:rPr>
                  <w:rStyle w:val="Hyperlink"/>
                </w:rPr>
                <w:t xml:space="preserve">ABS Indigenous experimental estimates and projections, QS</w:t>
              </w:r>
            </w:hyperlink>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Minor work required, the measure needs minor work to meet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04e46002334ba3">
              <w:r>
                <w:rPr>
                  <w:rStyle w:val="Hyperlink"/>
                </w:rPr>
                <w:t xml:space="preserve">National Healthcare Agreement: PI 20-Potentially avoidable deaths, 2012</w:t>
              </w:r>
            </w:hyperlink>
          </w:p>
          <w:p>
            <w:pPr>
              <w:spacing w:before="0" w:after="0"/>
            </w:pPr>
            <w:r>
              <w:rPr>
                <w:rStyle w:val="row-content"/>
                <w:color w:val="244061"/>
              </w:rPr>
              <w:t xml:space="preserve">       </w:t>
            </w:r>
            <w:hyperlink w:history="true" r:id="R0277a6738cd2481a">
              <w:r>
                <w:rPr>
                  <w:rStyle w:val="Hyperlink"/>
                  <w:color w:val="244061"/>
                </w:rPr>
                <w:t xml:space="preserve">Health</w:t>
              </w:r>
            </w:hyperlink>
            <w:r>
              <w:rPr>
                <w:rStyle w:val="row-content"/>
                <w:color w:val="244061"/>
              </w:rPr>
              <w:t xml:space="preserve">, Superseded 25/06/2013</w:t>
            </w:r>
          </w:p>
          <w:p>
            <w:r>
              <w:br/>
            </w:r>
            <w:r>
              <w:rPr>
                <w:rStyle w:val="row-content"/>
              </w:rPr>
              <w:t xml:space="preserve">Has been superseded by </w:t>
            </w:r>
            <w:hyperlink w:history="true" r:id="Rfbdfafcce7514373">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ddd1cc9393eb4d55">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b2f1fcc63bb746f6">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cb8821cd4c50484f">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494254498e8641e6">
              <w:r>
                <w:rPr>
                  <w:rStyle w:val="Hyperlink"/>
                </w:rPr>
                <w:t xml:space="preserve">National Healthcare Agreement: PI 04-Rates of current daily smokers, 2013</w:t>
              </w:r>
            </w:hyperlink>
          </w:p>
          <w:p>
            <w:pPr>
              <w:spacing w:before="0" w:after="0"/>
            </w:pPr>
            <w:r>
              <w:rPr>
                <w:rStyle w:val="row-content"/>
                <w:color w:val="244061"/>
              </w:rPr>
              <w:t xml:space="preserve">       </w:t>
            </w:r>
            <w:hyperlink w:history="true" r:id="Rb1d7b9198d7141eb">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cbc4787cd324b02">
              <w:r>
                <w:rPr>
                  <w:rStyle w:val="Hyperlink"/>
                </w:rPr>
                <w:t xml:space="preserve">National Healthcare Agreement: PI 05-Levels of risky alcohol consumption, 2013</w:t>
              </w:r>
            </w:hyperlink>
          </w:p>
          <w:p>
            <w:pPr>
              <w:spacing w:before="0" w:after="0"/>
            </w:pPr>
            <w:r>
              <w:rPr>
                <w:rStyle w:val="row-content"/>
                <w:color w:val="244061"/>
              </w:rPr>
              <w:t xml:space="preserve">       </w:t>
            </w:r>
            <w:hyperlink w:history="true" r:id="Rb5d954f9364349e2">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34777bd064cc446b">
              <w:r>
                <w:rPr>
                  <w:rStyle w:val="Hyperlink"/>
                </w:rPr>
                <w:t xml:space="preserve">National Healthcare Agreement: PI 06-Life expectancy, 2013</w:t>
              </w:r>
            </w:hyperlink>
          </w:p>
          <w:p>
            <w:pPr>
              <w:spacing w:before="0" w:after="0"/>
            </w:pPr>
            <w:r>
              <w:rPr>
                <w:rStyle w:val="row-content"/>
                <w:color w:val="244061"/>
              </w:rPr>
              <w:t xml:space="preserve">       </w:t>
            </w:r>
            <w:hyperlink w:history="true" r:id="Ra2f42c04eda849a4">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8dd381ae018c4e4c">
              <w:r>
                <w:rPr>
                  <w:rStyle w:val="Hyperlink"/>
                </w:rPr>
                <w:t xml:space="preserve">National Healthcare Agreement: PI 07-Infant and young child mortality rate, 2013</w:t>
              </w:r>
            </w:hyperlink>
          </w:p>
          <w:p>
            <w:pPr>
              <w:spacing w:before="0" w:after="0"/>
            </w:pPr>
            <w:r>
              <w:rPr>
                <w:rStyle w:val="row-content"/>
                <w:color w:val="244061"/>
              </w:rPr>
              <w:t xml:space="preserve">       </w:t>
            </w:r>
            <w:hyperlink w:history="true" r:id="Rac79e3393feb471c">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8293c62ea2f4352">
              <w:r>
                <w:rPr>
                  <w:rStyle w:val="Hyperlink"/>
                </w:rPr>
                <w:t xml:space="preserve">National Healthcare Agreement: PI 08-Major causes of death, 2013</w:t>
              </w:r>
            </w:hyperlink>
          </w:p>
          <w:p>
            <w:pPr>
              <w:spacing w:before="0" w:after="0"/>
            </w:pPr>
            <w:r>
              <w:rPr>
                <w:rStyle w:val="row-content"/>
                <w:color w:val="244061"/>
              </w:rPr>
              <w:t xml:space="preserve">       </w:t>
            </w:r>
            <w:hyperlink w:history="true" r:id="R265f61a72129453d">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26977ec7382d4d69">
              <w:r>
                <w:rPr>
                  <w:rStyle w:val="Hyperlink"/>
                </w:rPr>
                <w:t xml:space="preserve">National Healthcare Agreement: PI 18-Selected potentially preventable hospitalisations, 2013</w:t>
              </w:r>
            </w:hyperlink>
          </w:p>
          <w:p>
            <w:pPr>
              <w:spacing w:before="0" w:after="0"/>
            </w:pPr>
            <w:r>
              <w:rPr>
                <w:rStyle w:val="row-content"/>
                <w:color w:val="244061"/>
              </w:rPr>
              <w:t xml:space="preserve">       </w:t>
            </w:r>
            <w:hyperlink w:history="true" r:id="R4d926c1c453a400e">
              <w:r>
                <w:rPr>
                  <w:rStyle w:val="Hyperlink"/>
                  <w:color w:val="244061"/>
                </w:rPr>
                <w:t xml:space="preserve">Health</w:t>
              </w:r>
            </w:hyperlink>
            <w:r>
              <w:rPr>
                <w:rStyle w:val="row-content"/>
                <w:color w:val="244061"/>
              </w:rPr>
              <w:t xml:space="preserve">, Superseded 30/04/2014</w:t>
            </w:r>
          </w:p>
          <w:p>
            <w:r>
              <w:br/>
            </w:r>
            <w:r>
              <w:rPr>
                <w:rStyle w:val="row-content"/>
              </w:rPr>
              <w:t xml:space="preserve">See also </w:t>
            </w:r>
            <w:hyperlink w:history="true" r:id="R6977f56ef4434494">
              <w:r>
                <w:rPr>
                  <w:rStyle w:val="Hyperlink"/>
                </w:rPr>
                <w:t xml:space="preserve">National Healthcare Agreement: PI 23-Unplanned hospital readmission rates, 2013</w:t>
              </w:r>
            </w:hyperlink>
          </w:p>
          <w:p>
            <w:pPr>
              <w:spacing w:before="0" w:after="0"/>
            </w:pPr>
            <w:r>
              <w:rPr>
                <w:rStyle w:val="row-content"/>
                <w:color w:val="244061"/>
              </w:rPr>
              <w:t xml:space="preserve">       </w:t>
            </w:r>
            <w:hyperlink w:history="true" r:id="R11021206f1e9431a">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69435884961947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497242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a6525e6f954c3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943588496194786" /><Relationship Type="http://schemas.openxmlformats.org/officeDocument/2006/relationships/header" Target="/word/header1.xml" Id="R769b60c7013c47e6" /><Relationship Type="http://schemas.openxmlformats.org/officeDocument/2006/relationships/settings" Target="/word/settings.xml" Id="R5fedf0a00dab4a11" /><Relationship Type="http://schemas.openxmlformats.org/officeDocument/2006/relationships/styles" Target="/word/styles.xml" Id="R87a4b350284a4ba2" /><Relationship Type="http://schemas.openxmlformats.org/officeDocument/2006/relationships/hyperlink" Target="https://meteor.aihw.gov.au/RegistrationAuthority/12" TargetMode="External" Id="Rad9cdd067faa42d1" /><Relationship Type="http://schemas.openxmlformats.org/officeDocument/2006/relationships/hyperlink" Target="https://meteor.aihw.gov.au/content/496807" TargetMode="External" Id="R620ee09846df4187" /><Relationship Type="http://schemas.openxmlformats.org/officeDocument/2006/relationships/hyperlink" Target="https://meteor.aihw.gov.au/RegistrationAuthority/12" TargetMode="External" Id="R57e404542a6a4d86" /><Relationship Type="http://schemas.openxmlformats.org/officeDocument/2006/relationships/hyperlink" Target="https://meteor.aihw.gov.au/content/393484" TargetMode="External" Id="R444c12a4831d47d7" /><Relationship Type="http://schemas.openxmlformats.org/officeDocument/2006/relationships/hyperlink" Target="https://meteor.aihw.gov.au/RegistrationAuthority/12" TargetMode="External" Id="R0ea5ea9b86664ad5" /><Relationship Type="http://schemas.openxmlformats.org/officeDocument/2006/relationships/hyperlink" Target="https://meteor.aihw.gov.au/content/511943" TargetMode="External" Id="R0f9476dff8d942cb" /><Relationship Type="http://schemas.openxmlformats.org/officeDocument/2006/relationships/hyperlink" Target="https://meteor.aihw.gov.au/RegistrationAuthority/12" TargetMode="External" Id="R612e6610e3124248" /><Relationship Type="http://schemas.openxmlformats.org/officeDocument/2006/relationships/hyperlink" Target="https://meteor.aihw.gov.au/content/518443" TargetMode="External" Id="R450c2994d2414d8e" /><Relationship Type="http://schemas.openxmlformats.org/officeDocument/2006/relationships/image" Target="/media/image2.png" Id="Ra13c6481ceaa4691" /><Relationship Type="http://schemas.openxmlformats.org/officeDocument/2006/relationships/hyperlink" Target="https://meteor.aihw.gov.au/content/307931" TargetMode="External" Id="Ra65a4bf760614476" /><Relationship Type="http://schemas.openxmlformats.org/officeDocument/2006/relationships/hyperlink" Target="https://meteor.aihw.gov.au/content/394490" TargetMode="External" Id="Rc288a94c71c44ce5" /><Relationship Type="http://schemas.openxmlformats.org/officeDocument/2006/relationships/hyperlink" Target="https://meteor.aihw.gov.au/content/393625" TargetMode="External" Id="R95a2d1bea2e448cc" /><Relationship Type="http://schemas.openxmlformats.org/officeDocument/2006/relationships/hyperlink" Target="https://meteor.aihw.gov.au/content/394092" TargetMode="External" Id="R69ec9e12256544d4" /><Relationship Type="http://schemas.openxmlformats.org/officeDocument/2006/relationships/hyperlink" Target="https://meteor.aihw.gov.au/content/303794" TargetMode="External" Id="R4a0760d63bcd4a6e" /><Relationship Type="http://schemas.openxmlformats.org/officeDocument/2006/relationships/hyperlink" Target="https://meteor.aihw.gov.au/content/393625" TargetMode="External" Id="Rdf62f0d0fa044252" /><Relationship Type="http://schemas.openxmlformats.org/officeDocument/2006/relationships/hyperlink" Target="https://meteor.aihw.gov.au/content/303794" TargetMode="External" Id="R55d5fa500edc475a" /><Relationship Type="http://schemas.openxmlformats.org/officeDocument/2006/relationships/hyperlink" Target="https://meteor.aihw.gov.au/content/394092" TargetMode="External" Id="R8b7b752d38234b3f" /><Relationship Type="http://schemas.openxmlformats.org/officeDocument/2006/relationships/numbering" Target="/word/numbering.xml" Id="R2134988d2b8747f4" /><Relationship Type="http://schemas.openxmlformats.org/officeDocument/2006/relationships/hyperlink" Target="https://meteor.aihw.gov.au/content/291036" TargetMode="External" Id="R632f1f2019ef4664" /><Relationship Type="http://schemas.openxmlformats.org/officeDocument/2006/relationships/hyperlink" Target="https://meteor.aihw.gov.au/content/394490" TargetMode="External" Id="R05cc8361339d4387" /><Relationship Type="http://schemas.openxmlformats.org/officeDocument/2006/relationships/hyperlink" Target="https://meteor.aihw.gov.au/content/362291" TargetMode="External" Id="Rd30635c925484afe" /><Relationship Type="http://schemas.openxmlformats.org/officeDocument/2006/relationships/hyperlink" Target="https://meteor.aihw.gov.au/content/394490" TargetMode="External" Id="Raf49178ea58c40fe" /><Relationship Type="http://schemas.openxmlformats.org/officeDocument/2006/relationships/hyperlink" Target="https://meteor.aihw.gov.au/content/392575" TargetMode="External" Id="R577415bdc0304976" /><Relationship Type="http://schemas.openxmlformats.org/officeDocument/2006/relationships/hyperlink" Target="https://meteor.aihw.gov.au/content/393625" TargetMode="External" Id="R5324a305929e4c3d" /><Relationship Type="http://schemas.openxmlformats.org/officeDocument/2006/relationships/hyperlink" Target="https://meteor.aihw.gov.au/content/449216" TargetMode="External" Id="R98027456510345df" /><Relationship Type="http://schemas.openxmlformats.org/officeDocument/2006/relationships/hyperlink" Target="https://meteor.aihw.gov.au/content/394490" TargetMode="External" Id="R77203749c1df4dc5" /><Relationship Type="http://schemas.openxmlformats.org/officeDocument/2006/relationships/hyperlink" Target="https://meteor.aihw.gov.au/content/449206" TargetMode="External" Id="R97a5c67ad0394379" /><Relationship Type="http://schemas.openxmlformats.org/officeDocument/2006/relationships/hyperlink" Target="https://meteor.aihw.gov.au/content/394092" TargetMode="External" Id="Rffb4eda1f75c4332" /><Relationship Type="http://schemas.openxmlformats.org/officeDocument/2006/relationships/hyperlink" Target="https://meteor.aihw.gov.au/content/449223" TargetMode="External" Id="R167410b027c94e3b" /><Relationship Type="http://schemas.openxmlformats.org/officeDocument/2006/relationships/hyperlink" Target="https://meteor.aihw.gov.au/content/443685" TargetMode="External" Id="R3804e46002334ba3" /><Relationship Type="http://schemas.openxmlformats.org/officeDocument/2006/relationships/hyperlink" Target="https://meteor.aihw.gov.au/RegistrationAuthority/12" TargetMode="External" Id="R0277a6738cd2481a" /><Relationship Type="http://schemas.openxmlformats.org/officeDocument/2006/relationships/hyperlink" Target="https://meteor.aihw.gov.au/content/517652" TargetMode="External" Id="Rfbdfafcce7514373" /><Relationship Type="http://schemas.openxmlformats.org/officeDocument/2006/relationships/hyperlink" Target="https://meteor.aihw.gov.au/RegistrationAuthority/12" TargetMode="External" Id="Rddd1cc9393eb4d55" /><Relationship Type="http://schemas.openxmlformats.org/officeDocument/2006/relationships/hyperlink" Target="https://meteor.aihw.gov.au/content/498205" TargetMode="External" Id="Rb2f1fcc63bb746f6" /><Relationship Type="http://schemas.openxmlformats.org/officeDocument/2006/relationships/hyperlink" Target="https://meteor.aihw.gov.au/RegistrationAuthority/12" TargetMode="External" Id="Rcb8821cd4c50484f" /><Relationship Type="http://schemas.openxmlformats.org/officeDocument/2006/relationships/hyperlink" Target="https://meteor.aihw.gov.au/content/498203" TargetMode="External" Id="R494254498e8641e6" /><Relationship Type="http://schemas.openxmlformats.org/officeDocument/2006/relationships/hyperlink" Target="https://meteor.aihw.gov.au/RegistrationAuthority/12" TargetMode="External" Id="Rb1d7b9198d7141eb" /><Relationship Type="http://schemas.openxmlformats.org/officeDocument/2006/relationships/hyperlink" Target="https://meteor.aihw.gov.au/content/498201" TargetMode="External" Id="R8cbc4787cd324b02" /><Relationship Type="http://schemas.openxmlformats.org/officeDocument/2006/relationships/hyperlink" Target="https://meteor.aihw.gov.au/RegistrationAuthority/12" TargetMode="External" Id="Rb5d954f9364349e2" /><Relationship Type="http://schemas.openxmlformats.org/officeDocument/2006/relationships/hyperlink" Target="https://meteor.aihw.gov.au/content/498187" TargetMode="External" Id="R34777bd064cc446b" /><Relationship Type="http://schemas.openxmlformats.org/officeDocument/2006/relationships/hyperlink" Target="https://meteor.aihw.gov.au/RegistrationAuthority/12" TargetMode="External" Id="Ra2f42c04eda849a4" /><Relationship Type="http://schemas.openxmlformats.org/officeDocument/2006/relationships/hyperlink" Target="https://meteor.aihw.gov.au/content/498177" TargetMode="External" Id="R8dd381ae018c4e4c" /><Relationship Type="http://schemas.openxmlformats.org/officeDocument/2006/relationships/hyperlink" Target="https://meteor.aihw.gov.au/RegistrationAuthority/12" TargetMode="External" Id="Rac79e3393feb471c" /><Relationship Type="http://schemas.openxmlformats.org/officeDocument/2006/relationships/hyperlink" Target="https://meteor.aihw.gov.au/content/497524" TargetMode="External" Id="R28293c62ea2f4352" /><Relationship Type="http://schemas.openxmlformats.org/officeDocument/2006/relationships/hyperlink" Target="https://meteor.aihw.gov.au/RegistrationAuthority/12" TargetMode="External" Id="R265f61a72129453d" /><Relationship Type="http://schemas.openxmlformats.org/officeDocument/2006/relationships/hyperlink" Target="https://meteor.aihw.gov.au/content/497224" TargetMode="External" Id="R26977ec7382d4d69" /><Relationship Type="http://schemas.openxmlformats.org/officeDocument/2006/relationships/hyperlink" Target="https://meteor.aihw.gov.au/RegistrationAuthority/12" TargetMode="External" Id="R4d926c1c453a400e" /><Relationship Type="http://schemas.openxmlformats.org/officeDocument/2006/relationships/hyperlink" Target="https://meteor.aihw.gov.au/content/497129" TargetMode="External" Id="R6977f56ef4434494" /><Relationship Type="http://schemas.openxmlformats.org/officeDocument/2006/relationships/hyperlink" Target="https://meteor.aihw.gov.au/RegistrationAuthority/12" TargetMode="External" Id="R11021206f1e9431a" /></Relationships>
</file>

<file path=word/_rels/header1.xml.rels>&#65279;<?xml version="1.0" encoding="utf-8"?><Relationships xmlns="http://schemas.openxmlformats.org/package/2006/relationships"><Relationship Type="http://schemas.openxmlformats.org/officeDocument/2006/relationships/image" Target="/media/image.png" Id="R6ca6525e6f954c33" /></Relationships>
</file>