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6e65549a8146b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28-Proportion of residential aged care services that are three year re-accredited,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28-Proportion of residential aged care services that are three year re-accredited,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28-Proportion of residential aged care services that are three year re-accredited,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a943bb4a1c47ce">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residential aged care services that are three year re-accredited.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ab490d799904d42">
              <w:r>
                <w:rPr>
                  <w:rStyle w:val="Hyperlink"/>
                </w:rPr>
                <w:t xml:space="preserve">National Healthcare Agreement (2013)</w:t>
              </w:r>
            </w:hyperlink>
          </w:p>
          <w:p>
            <w:pPr>
              <w:pStyle w:val="registration-status"/>
              <w:spacing w:before="0" w:after="0"/>
            </w:pPr>
            <w:hyperlink w:history="true" r:id="R22bb23acdbaa40c0">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54a1d7762b34161">
              <w:r>
                <w:rPr>
                  <w:rStyle w:val="Hyperlink"/>
                </w:rPr>
                <w:t xml:space="preserve">Aged Care</w:t>
              </w:r>
            </w:hyperlink>
          </w:p>
          <w:p>
            <w:pPr>
              <w:pStyle w:val="registration-status"/>
              <w:spacing w:before="0" w:after="0"/>
            </w:pPr>
            <w:hyperlink w:history="true" r:id="Rf75be1124b5a4d2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887b0af548e4028">
              <w:r>
                <w:rPr>
                  <w:rStyle w:val="Hyperlink"/>
                </w:rPr>
                <w:t xml:space="preserve">National Healthcare Agreement: PI 28-Proportion of residential aged care services that are three year re-accredited, 2013 QS</w:t>
              </w:r>
            </w:hyperlink>
          </w:p>
          <w:p>
            <w:pPr>
              <w:pStyle w:val="registration-status"/>
              <w:spacing w:before="0" w:after="0"/>
            </w:pPr>
            <w:hyperlink w:history="true" r:id="R24713311652d419c">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re-accreditations for three years for residential aged care services over the financial year in question.</w:t>
            </w:r>
          </w:p>
          <w:p>
            <w:pPr/>
            <w:r>
              <w:rPr>
                <w:rStyle w:val="row-content-rich-text"/>
              </w:rPr>
              <w:t xml:space="preserve">Decisions are as in effect at 30 June and may not align exactly with what happened during the financial year as decisions may not have come into effect or may have been superseded.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residential aged care facilities that received re-accreditation for three years during the financial year, decision as in effect at 30 June.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residential aged care facilities that received re-accreditation decisions during the financial year.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 State and territory by:</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size of residential aged care facility (places).</w:t>
            </w:r>
          </w:p>
          <w:p>
            <w:pPr>
              <w:spacing w:after="160"/>
            </w:pPr>
            <w:r>
              <w:rPr>
                <w:rStyle w:val="row-content-rich-text"/>
              </w:rPr>
              <w:t xml:space="preserve">2008-09, 2009-10 and 2010-11 — State and territory.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2013 Council of Australian Governments (COAG) Reform Council (CRC) report: 2011-12.</w:t>
            </w:r>
          </w:p>
          <w:p>
            <w:pPr>
              <w:spacing w:after="160"/>
            </w:pPr>
            <w:r>
              <w:rPr>
                <w:rStyle w:val="row-content-rich-text"/>
              </w:rPr>
              <w:t xml:space="preserve">Commencing services receive accreditation for one year in the first instance, and are excluded from consideration until their first re-accreditation occurs.</w:t>
            </w:r>
          </w:p>
          <w:p>
            <w:pPr>
              <w:spacing w:after="160"/>
            </w:pPr>
            <w:r>
              <w:rPr>
                <w:rStyle w:val="row-content-rich-text"/>
              </w:rPr>
              <w:t xml:space="preserve">Re-accreditation is provided for a period up to three years. Three year re-accreditation indicates that the facility:</w:t>
            </w:r>
          </w:p>
          <w:p>
            <w:pPr>
              <w:pStyle w:val="ListParagraph"/>
              <w:numPr>
                <w:ilvl w:val="0"/>
                <w:numId w:val="3"/>
              </w:numPr>
            </w:pPr>
            <w:r>
              <w:rPr>
                <w:rStyle w:val="row-content-rich-text"/>
              </w:rPr>
              <w:t xml:space="preserve">meets all or almost all 44 expected outcomes and/or does not have any failure to meet the standards that compromises the health, safety or wellbeing of the residents;</w:t>
            </w:r>
          </w:p>
          <w:p>
            <w:pPr>
              <w:pStyle w:val="ListParagraph"/>
              <w:numPr>
                <w:ilvl w:val="0"/>
                <w:numId w:val="3"/>
              </w:numPr>
            </w:pPr>
            <w:r>
              <w:rPr>
                <w:rStyle w:val="row-content-rich-text"/>
              </w:rPr>
              <w:t xml:space="preserve">has satisfied the Accreditation Agency that it will rectify any identified failure to meet the Accreditation Standards in a short timeframe;</w:t>
            </w:r>
          </w:p>
          <w:p>
            <w:pPr>
              <w:pStyle w:val="ListParagraph"/>
              <w:numPr>
                <w:ilvl w:val="0"/>
                <w:numId w:val="3"/>
              </w:numPr>
            </w:pPr>
            <w:r>
              <w:rPr>
                <w:rStyle w:val="row-content-rich-text"/>
              </w:rPr>
              <w:t xml:space="preserve">is not in breach of any other significant obligations under the </w:t>
            </w:r>
            <w:r>
              <w:rPr>
                <w:rStyle w:val="row-content-rich-text"/>
                <w:i/>
              </w:rPr>
              <w:t xml:space="preserve">Aged Care Act 1997</w:t>
            </w:r>
            <w:r>
              <w:rPr>
                <w:rStyle w:val="row-content-rich-text"/>
              </w:rPr>
              <w:t xml:space="preserve"> notified to the Accreditation Agency by the Department of Health and Ageing; and</w:t>
            </w:r>
          </w:p>
          <w:p>
            <w:pPr>
              <w:pStyle w:val="ListParagraph"/>
              <w:numPr>
                <w:ilvl w:val="0"/>
                <w:numId w:val="3"/>
              </w:numPr>
            </w:pPr>
            <w:r>
              <w:rPr>
                <w:rStyle w:val="row-content-rich-text"/>
              </w:rPr>
              <w:t xml:space="preserve">has satisfied the Accreditation Agency that it undertakes continuous improvement.  </w:t>
            </w:r>
          </w:p>
          <w:p>
            <w:pPr/>
            <w:r>
              <w:rPr>
                <w:rStyle w:val="row-content-rich-text"/>
              </w:rPr>
              <w:t xml:space="preserve">Summary national and state/territory data appear in the annual report of the Aged Care Standards and Accreditation Agency and are also published in the annual Report on Government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7512a2dc3f04a83">
              <w:r>
                <w:rPr>
                  <w:rStyle w:val="Hyperlink"/>
                </w:rPr>
                <w:t xml:space="preserve">National Healthcare Agreement: PI 28-Proportion of residential aged care services that are three year re-accredited 2014</w:t>
              </w:r>
            </w:hyperlink>
          </w:p>
          <w:p>
            <w:pPr>
              <w:pStyle w:val="registration-status"/>
              <w:spacing w:before="0" w:after="0"/>
            </w:pPr>
            <w:hyperlink w:history="true" r:id="R3aab497ce7924dc7">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e9f02328f40141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496882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bf65c3964641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f02328f40141d8" /><Relationship Type="http://schemas.openxmlformats.org/officeDocument/2006/relationships/header" Target="/word/header1.xml" Id="R8dad121e7dee48f5" /><Relationship Type="http://schemas.openxmlformats.org/officeDocument/2006/relationships/settings" Target="/word/settings.xml" Id="R024741d577774dca" /><Relationship Type="http://schemas.openxmlformats.org/officeDocument/2006/relationships/styles" Target="/word/styles.xml" Id="Rfe5f1607b86f4c33" /><Relationship Type="http://schemas.openxmlformats.org/officeDocument/2006/relationships/numbering" Target="/word/numbering.xml" Id="R3f40e6540989454f" /><Relationship Type="http://schemas.openxmlformats.org/officeDocument/2006/relationships/hyperlink" Target="https://meteor.aihw.gov.au/RegistrationAuthority/12" TargetMode="External" Id="Rdfa943bb4a1c47ce" /><Relationship Type="http://schemas.openxmlformats.org/officeDocument/2006/relationships/hyperlink" Target="https://meteor.aihw.gov.au/content/496807" TargetMode="External" Id="Raab490d799904d42" /><Relationship Type="http://schemas.openxmlformats.org/officeDocument/2006/relationships/hyperlink" Target="https://meteor.aihw.gov.au/RegistrationAuthority/12" TargetMode="External" Id="R22bb23acdbaa40c0" /><Relationship Type="http://schemas.openxmlformats.org/officeDocument/2006/relationships/hyperlink" Target="https://meteor.aihw.gov.au/content/393489" TargetMode="External" Id="R654a1d7762b34161" /><Relationship Type="http://schemas.openxmlformats.org/officeDocument/2006/relationships/hyperlink" Target="https://meteor.aihw.gov.au/RegistrationAuthority/12" TargetMode="External" Id="Rf75be1124b5a4d28" /><Relationship Type="http://schemas.openxmlformats.org/officeDocument/2006/relationships/hyperlink" Target="https://meteor.aihw.gov.au/content/502549" TargetMode="External" Id="Rd887b0af548e4028" /><Relationship Type="http://schemas.openxmlformats.org/officeDocument/2006/relationships/hyperlink" Target="https://meteor.aihw.gov.au/RegistrationAuthority/12" TargetMode="External" Id="R24713311652d419c" /><Relationship Type="http://schemas.openxmlformats.org/officeDocument/2006/relationships/hyperlink" Target="https://meteor.aihw.gov.au/content/517625" TargetMode="External" Id="Ra7512a2dc3f04a83" /><Relationship Type="http://schemas.openxmlformats.org/officeDocument/2006/relationships/hyperlink" Target="https://meteor.aihw.gov.au/RegistrationAuthority/12" TargetMode="External" Id="R3aab497ce7924dc7" /></Relationships>
</file>

<file path=word/_rels/header1.xml.rels>&#65279;<?xml version="1.0" encoding="utf-8"?><Relationships xmlns="http://schemas.openxmlformats.org/package/2006/relationships"><Relationship Type="http://schemas.openxmlformats.org/officeDocument/2006/relationships/image" Target="/media/image.png" Id="R7fbf65c3964641f1" /></Relationships>
</file>