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c9b7b55aeb43fb"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 2010–11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 2010–11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163c0eaba4d38">
              <w:r>
                <w:rPr>
                  <w:rStyle w:val="Hyperlink"/>
                  <w:color w:val="244061"/>
                </w:rPr>
                <w:t xml:space="preserve">AIHW Data Quality Statements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2010–11 low income cut-offs (that is, the 40th percentile of equivalised gross household incomes for the 2010–11 financial year) were not available so the 2009-10 cut-offs were used in their place. As a result, it is expected that the number of low income households will be under-reported.</w:t>
            </w:r>
          </w:p>
          <w:p>
            <w:pPr>
              <w:pStyle w:val="ListParagraph"/>
              <w:numPr>
                <w:ilvl w:val="0"/>
                <w:numId w:val="2"/>
              </w:numPr>
            </w:pPr>
            <w:r>
              <w:rPr>
                <w:rStyle w:val="row-content-rich-text"/>
              </w:rPr>
              <w:t xml:space="preserve">Care should be taken when comparing NSW 2010–11 data with those for previous reporting periods as a change in their client management system has led to the potential for changes in the descriptors.</w:t>
            </w:r>
          </w:p>
          <w:p>
            <w:pPr>
              <w:pStyle w:val="ListParagraph"/>
              <w:numPr>
                <w:ilvl w:val="0"/>
                <w:numId w:val="2"/>
              </w:numPr>
            </w:pPr>
            <w:r>
              <w:rPr>
                <w:rStyle w:val="row-content-rich-text"/>
              </w:rPr>
              <w:t xml:space="preserve">West Australian households and dwellings that were previously reported under the state owned and managed Indigenous housing (SOMIH) program are, as of 2010–11, being reported under public rental housing.</w:t>
            </w:r>
          </w:p>
          <w:p>
            <w:pPr>
              <w:pStyle w:val="Heading2"/>
            </w:pPr>
            <w:r>
              <w:rPr>
                <w:rStyle w:val="row-content-rich-text"/>
              </w:rPr>
              <w:t xml:space="preserve">Description</w:t>
            </w:r>
          </w:p>
          <w:p>
            <w:pPr/>
            <w:r>
              <w:rPr>
                <w:rStyle w:val="row-content-rich-text"/>
              </w:rPr>
              <w:t xml:space="preserve">Jurisdictions provide a range of SOMIH programs and maintain administrative data sets about these programs. These data sets are provided annually to the AIHW. The data in this collection contain information about SOMIH dwellings, households assisted and households on the waiting list, during 2010–11 and at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w:t>
            </w:r>
            <w:r>
              <w:rPr>
                <w:rStyle w:val="row-content-rich-text"/>
              </w:rPr>
              <w:t xml:space="preserve">(Cwth)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w:t>
            </w:r>
            <w:r>
              <w:rPr>
                <w:rStyle w:val="row-content-rich-text"/>
                <w:i/>
              </w:rPr>
              <w:t xml:space="preserve">Privacy Act 1988</w:t>
            </w:r>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receives, compiles, edits and verifies the SOMIH data in collaboration with jurisdictions, who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SOMIH collection is based on the financial year (ending 30 June). The specific reference period for these data is 2010–11.</w:t>
            </w:r>
          </w:p>
          <w:p>
            <w:pPr>
              <w:spacing w:after="160"/>
            </w:pPr>
            <w:r>
              <w:rPr>
                <w:rStyle w:val="row-content-rich-text"/>
              </w:rPr>
              <w:t xml:space="preserve">Data are collected and published annually.  The data for the 2010–11 reference period were due to be signed off by the jurisdictions and provided to AIHW by 22 of September 2011.  A number of jurisdictions failed to meet this deadline with NSW signing off on 6 of October 2011, ACT signing off on 4 of November 2011 and SA signing off on 13 of January 2012.</w:t>
            </w:r>
          </w:p>
          <w:p>
            <w:pPr/>
            <w:r>
              <w:rPr>
                <w:rStyle w:val="row-content-rich-text"/>
              </w:rPr>
              <w:t xml:space="preserve">Summary items and performance indicators from the 2010–11 SOMIH collection were first published in the </w:t>
            </w:r>
            <w:r>
              <w:rPr>
                <w:rStyle w:val="row-content-rich-text"/>
                <w:i/>
              </w:rPr>
              <w:t xml:space="preserve">Report on Government Services 2012</w:t>
            </w:r>
            <w:r>
              <w:rPr>
                <w:rStyle w:val="row-content-rich-text"/>
              </w:rPr>
              <w:t xml:space="preserve"> in January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w:t>
            </w:r>
            <w:r>
              <w:rPr>
                <w:rStyle w:val="row-content-rich-text"/>
                <w:i/>
              </w:rPr>
              <w:t xml:space="preserve">Housing Assistance in Australia</w:t>
            </w:r>
            <w:r>
              <w:rPr>
                <w:rStyle w:val="row-content-rich-text"/>
              </w:rPr>
              <w:t xml:space="preserve"> (this publication), the </w:t>
            </w:r>
            <w:r>
              <w:rPr>
                <w:rStyle w:val="row-content-rich-text"/>
                <w:i/>
              </w:rPr>
              <w:t xml:space="preserve">Report on government services 2012</w:t>
            </w:r>
            <w:r>
              <w:rPr>
                <w:rStyle w:val="row-content-rich-text"/>
              </w:rPr>
              <w:t xml:space="preserve"> http://www.pc.gov.au/__data/assets/pdf_file/0009/114975/59-government-services-2012-chapter16.pdf and the </w:t>
            </w:r>
            <w:r>
              <w:rPr>
                <w:rStyle w:val="row-content-rich-text"/>
                <w:i/>
              </w:rPr>
              <w:t xml:space="preserve">COAG Reform Council’s NAHA Report</w:t>
            </w:r>
            <w:r>
              <w:rPr>
                <w:rStyle w:val="row-content-rich-text"/>
              </w:rPr>
              <w:t xml:space="preserve"> http://www.coagreformcouncil.gov.au/reports/housing.cfm. </w:t>
            </w:r>
          </w:p>
          <w:p>
            <w:pPr/>
            <w:r>
              <w:rPr>
                <w:rStyle w:val="row-content-rich-text"/>
              </w:rPr>
              <w:t xml:space="preserve">Disaggregated data and unit record data may be requested through the national data repository and provided subject to jurisdiction approval. Contact housing@aihw.gov.au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annual publication </w:t>
            </w:r>
            <w:r>
              <w:rPr>
                <w:rStyle w:val="row-content-rich-text"/>
                <w:i/>
              </w:rPr>
              <w:t xml:space="preserve">(Housing assistance in Australia)</w:t>
            </w:r>
            <w:r>
              <w:rPr>
                <w:rStyle w:val="row-content-rich-text"/>
              </w:rPr>
              <w:t xml:space="preserve"> provides a range of information to assist interpretation of data, including descriptions of the main programs and a glossary.  Detailed metadata and definitions relating to this data source can be found in the National Housing Assistance Data Dictionary (AIHW Cat no. HOU147). Supplementary information can be found in the public rental housing collection manual which is available upon request from the AIHW at housing@aihw.gov.au.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run by the jurisdictions and conform well in terms of scope, coverage and reference period.</w:t>
            </w:r>
          </w:p>
          <w:p>
            <w:pPr>
              <w:spacing w:after="160"/>
            </w:pPr>
            <w:r>
              <w:rPr>
                <w:rStyle w:val="row-content-rich-text"/>
              </w:rPr>
              <w:t xml:space="preserve">Not all jurisdictions have a separately identified or funded SOMIH program. In these cases all social housing dwellings managed by jurisdictions are reported in the public rental housing data collection.</w:t>
            </w:r>
          </w:p>
          <w:p>
            <w:pPr>
              <w:spacing w:after="160"/>
            </w:pPr>
            <w:r>
              <w:rPr>
                <w:rStyle w:val="row-content-rich-text"/>
              </w:rPr>
              <w:t xml:space="preserve">Classifications used for income and greatest need are not consistent across jurisdictions and are mapped to a common standard.</w:t>
            </w:r>
          </w:p>
          <w:p>
            <w:pPr>
              <w:spacing w:after="160"/>
            </w:pPr>
            <w:r>
              <w:rPr>
                <w:rStyle w:val="row-content-rich-text"/>
              </w:rPr>
              <w:t xml:space="preserve">Not all jurisdictions collect or update all data items for every tenant so substitutions are made in some cases.</w:t>
            </w:r>
          </w:p>
          <w:p>
            <w:pPr>
              <w:spacing w:after="160"/>
            </w:pPr>
            <w:r>
              <w:rPr>
                <w:rStyle w:val="row-content-rich-text"/>
              </w:rPr>
              <w:t xml:space="preserve">Data collected are appropriate for reporting outputs from the SOMIH programs of state and territory governments.</w:t>
            </w:r>
          </w:p>
          <w:p>
            <w:pPr>
              <w:spacing w:after="160"/>
            </w:pPr>
            <w:r>
              <w:rPr>
                <w:rStyle w:val="row-content-rich-text"/>
              </w:rPr>
              <w:t xml:space="preserve">Specific State/Territory issues are:</w:t>
            </w:r>
          </w:p>
          <w:p>
            <w:pPr>
              <w:spacing w:after="160"/>
            </w:pPr>
            <w:r>
              <w:rPr>
                <w:rStyle w:val="row-content-rich-text"/>
                <w:b/>
              </w:rPr>
              <w:t xml:space="preserve">Victoria</w:t>
            </w:r>
          </w:p>
          <w:p>
            <w:pPr>
              <w:pStyle w:val="ListParagraph"/>
              <w:numPr>
                <w:ilvl w:val="0"/>
                <w:numId w:val="3"/>
              </w:numPr>
            </w:pPr>
            <w:r>
              <w:rPr>
                <w:rStyle w:val="row-content-rich-text"/>
              </w:rPr>
              <w:t xml:space="preserve">Victoria’s SOMIH program ended on 30 September 2010, when management of tenancies in SOMIH properties was transferred to Aboriginal Housing Victoria. These dwellings are now classified as Indigenous community housing. A small number of SOMIH tenants and properties transferred to public housing. No SOMIH dwellings are reported for Victoria for 2009-10 onwards.</w:t>
            </w:r>
          </w:p>
          <w:p>
            <w:pPr>
              <w:spacing w:after="160"/>
            </w:pPr>
            <w:r>
              <w:rPr>
                <w:rStyle w:val="row-content-rich-text"/>
                <w:b/>
              </w:rPr>
              <w:t xml:space="preserve">Western Australia</w:t>
            </w:r>
          </w:p>
          <w:p>
            <w:pPr>
              <w:pStyle w:val="ListParagraph"/>
              <w:numPr>
                <w:ilvl w:val="0"/>
                <w:numId w:val="4"/>
              </w:numPr>
            </w:pPr>
            <w:r>
              <w:rPr>
                <w:rStyle w:val="row-content-rich-text"/>
              </w:rPr>
              <w:t xml:space="preserve">Western Australia has ceased to have a SOMIH program in 2010–11. Dwellings and households that were previously reported in SOMIH have been transferred to PH. </w:t>
            </w:r>
          </w:p>
          <w:p>
            <w:pPr>
              <w:spacing w:after="160"/>
            </w:pPr>
            <w:r>
              <w:rPr>
                <w:rStyle w:val="row-content-rich-text"/>
                <w:b/>
              </w:rPr>
              <w:t xml:space="preserve">Northern Territory</w:t>
            </w:r>
          </w:p>
          <w:p>
            <w:pPr>
              <w:pStyle w:val="ListParagraph"/>
              <w:numPr>
                <w:ilvl w:val="0"/>
                <w:numId w:val="5"/>
              </w:numPr>
            </w:pPr>
            <w:r>
              <w:rPr>
                <w:rStyle w:val="row-content-rich-text"/>
              </w:rPr>
              <w:t xml:space="preserve">Indigenous housing was provided in the Northern Territory through community housing (before 2010–11) or public housing (2010–11 onwards).</w:t>
            </w:r>
          </w:p>
          <w:p>
            <w:pPr>
              <w:spacing w:after="160"/>
            </w:pPr>
            <w:r>
              <w:rPr>
                <w:rStyle w:val="row-content-rich-text"/>
                <w:b/>
              </w:rPr>
              <w:t xml:space="preserve">Australian Capital Territory</w:t>
            </w:r>
          </w:p>
          <w:p>
            <w:pPr>
              <w:pStyle w:val="ListParagraph"/>
              <w:numPr>
                <w:ilvl w:val="0"/>
                <w:numId w:val="6"/>
              </w:numPr>
            </w:pPr>
            <w:r>
              <w:rPr>
                <w:rStyle w:val="row-content-rich-text"/>
              </w:rPr>
              <w:t xml:space="preserve">The Australian Capital Territory does not have a separately identified or funded Indigenous housing program. Social housing assistance for Indigenous people is provided through public housing and Indigenous community housing.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7"/>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7"/>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7"/>
              </w:numPr>
            </w:pPr>
            <w:r>
              <w:rPr>
                <w:rStyle w:val="row-content-rich-text"/>
              </w:rPr>
              <w:t xml:space="preserve">Low income cut-offs for 2010–11 (that is, the 40th percentile of equivalised gross household incomes for the 2010–11 financial year) were not available so the 2009-10 cut-offs were used in their place. As a result, it is expected that the number of low income households will be underreported;</w:t>
            </w:r>
          </w:p>
          <w:p>
            <w:pPr>
              <w:pStyle w:val="ListParagraph"/>
              <w:numPr>
                <w:ilvl w:val="0"/>
                <w:numId w:val="7"/>
              </w:numPr>
            </w:pPr>
            <w:r>
              <w:rPr>
                <w:rStyle w:val="row-content-rich-text"/>
              </w:rPr>
              <w:t xml:space="preserve">For some jurisdictions, disability data may be self-identified and not mandatory under program eligibility requirements</w:t>
            </w:r>
          </w:p>
          <w:p>
            <w:pPr>
              <w:pStyle w:val="ListParagraph"/>
              <w:numPr>
                <w:ilvl w:val="0"/>
                <w:numId w:val="7"/>
              </w:numPr>
            </w:pPr>
            <w:r>
              <w:rPr>
                <w:rStyle w:val="row-content-rich-text"/>
              </w:rPr>
              <w:t xml:space="preserve">Many jurisdictions do not update income information for non-rebated households, so outputs produced using data from these households should be used with caution</w:t>
            </w:r>
          </w:p>
          <w:p>
            <w:pPr>
              <w:pStyle w:val="ListParagraph"/>
              <w:numPr>
                <w:ilvl w:val="0"/>
                <w:numId w:val="7"/>
              </w:numPr>
            </w:pPr>
            <w:r>
              <w:rPr>
                <w:rStyle w:val="row-content-rich-text"/>
              </w:rPr>
              <w:t xml:space="preserve">Estimates produced using the Accessibility/Remoteness Index of Australia are rounded and this may cause discrepancies between estimates produced for regions and those produced for the total of the regions. </w:t>
            </w:r>
          </w:p>
          <w:p>
            <w:pPr>
              <w:spacing w:after="160"/>
            </w:pPr>
            <w:r>
              <w:rPr>
                <w:rStyle w:val="row-content-rich-text"/>
              </w:rPr>
              <w:t xml:space="preserve">Specific State/Territory issues are:</w:t>
            </w:r>
          </w:p>
          <w:p>
            <w:pPr>
              <w:spacing w:after="160"/>
            </w:pPr>
            <w:r>
              <w:rPr>
                <w:rStyle w:val="row-content-rich-text"/>
                <w:b/>
              </w:rPr>
              <w:t xml:space="preserve">New South Wales</w:t>
            </w:r>
          </w:p>
          <w:p>
            <w:pPr>
              <w:spacing w:after="160"/>
            </w:pPr>
            <w:r>
              <w:rPr>
                <w:rStyle w:val="row-content-rich-text"/>
              </w:rPr>
              <w:t xml:space="preserve">A total of 37% of SOMIH households (1,580) are excluded from affordability calculations due to missing income information.</w:t>
            </w:r>
          </w:p>
          <w:p>
            <w:pPr>
              <w:spacing w:after="160"/>
            </w:pPr>
            <w:r>
              <w:rPr>
                <w:rStyle w:val="row-content-rich-text"/>
                <w:b/>
              </w:rPr>
              <w:t xml:space="preserve">South Australia</w:t>
            </w:r>
          </w:p>
          <w:p>
            <w:pPr>
              <w:spacing w:after="160"/>
            </w:pPr>
            <w:r>
              <w:rPr>
                <w:rStyle w:val="row-content-rich-text"/>
              </w:rPr>
              <w:t xml:space="preserve">The rental stress figures for South Australia have been supplied by the jurisdiction rather than calculated using the unit record data due to errors in the data.</w:t>
            </w:r>
          </w:p>
          <w:p>
            <w:pPr>
              <w:spacing w:after="160"/>
            </w:pPr>
            <w:r>
              <w:rPr>
                <w:rStyle w:val="row-content-rich-text"/>
                <w:b/>
              </w:rPr>
              <w:t xml:space="preserve">Tasmania</w:t>
            </w:r>
          </w:p>
          <w:p>
            <w:pPr/>
            <w:r>
              <w:rPr>
                <w:rStyle w:val="row-content-rich-text"/>
              </w:rPr>
              <w:t xml:space="preserve">While need assessments for SOMIH applicants consider some greatest need factors, details are not recorded in the Tasmanian Housing Information System.  As such, greatest need status and allocations are not reported for SOMIH applicants.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 This particularly relates to scope and coverage of dwellings across states and territories.</w:t>
            </w:r>
          </w:p>
          <w:p>
            <w:pPr>
              <w:spacing w:after="160"/>
            </w:pPr>
            <w:r>
              <w:rPr>
                <w:rStyle w:val="row-content-rich-text"/>
              </w:rPr>
              <w:t xml:space="preserve">Coherence over time has been affected by changes in methodology:</w:t>
            </w:r>
          </w:p>
          <w:p>
            <w:pPr>
              <w:pStyle w:val="ListParagraph"/>
              <w:numPr>
                <w:ilvl w:val="0"/>
                <w:numId w:val="8"/>
              </w:numPr>
            </w:pPr>
            <w:r>
              <w:rPr>
                <w:rStyle w:val="row-content-rich-text"/>
              </w:rPr>
              <w:t xml:space="preserve">Low-income figures measured cannot be compared with low income figures produced before 2009-10 due to a change in methodology.</w:t>
            </w:r>
          </w:p>
          <w:p>
            <w:pPr>
              <w:pStyle w:val="ListParagraph"/>
              <w:numPr>
                <w:ilvl w:val="0"/>
                <w:numId w:val="8"/>
              </w:numPr>
            </w:pPr>
            <w:r>
              <w:rPr>
                <w:rStyle w:val="row-content-rich-text"/>
              </w:rPr>
              <w:t xml:space="preserve">Overcrowding and underuse figures measured cannot be compared with figures produced before 2009-10 due to a change in methodology. </w:t>
            </w:r>
          </w:p>
          <w:p>
            <w:pPr>
              <w:spacing w:after="160"/>
            </w:pPr>
            <w:r>
              <w:rPr>
                <w:rStyle w:val="row-content-rich-text"/>
              </w:rPr>
              <w:t xml:space="preserve">The bedroom entitlement policies of state and territory housing authorities may differ from those of the Canadian National Occupancy Standard which is used in dwelling use calculations.</w:t>
            </w:r>
          </w:p>
          <w:p>
            <w:pPr>
              <w:spacing w:after="160"/>
            </w:pPr>
            <w:r>
              <w:rPr>
                <w:rStyle w:val="row-content-rich-text"/>
              </w:rPr>
              <w:t xml:space="preserve">Specific State/Territory issues are:</w:t>
            </w:r>
          </w:p>
          <w:p>
            <w:pPr>
              <w:spacing w:after="160"/>
            </w:pPr>
            <w:r>
              <w:rPr>
                <w:rStyle w:val="row-content-rich-text"/>
                <w:b/>
              </w:rPr>
              <w:t xml:space="preserve">New South Wales</w:t>
            </w:r>
          </w:p>
          <w:p>
            <w:pPr>
              <w:spacing w:after="160"/>
            </w:pPr>
            <w:r>
              <w:rPr>
                <w:rStyle w:val="row-content-rich-text"/>
              </w:rPr>
              <w:t xml:space="preserve">Care should be taken when comparing 2010–11 data with previous reporting periods as a change in the client management system has led to the potential for changes in the descriptors.</w:t>
            </w:r>
          </w:p>
          <w:p>
            <w:pPr>
              <w:spacing w:after="160"/>
            </w:pPr>
            <w:r>
              <w:rPr>
                <w:rStyle w:val="row-content-rich-text"/>
              </w:rPr>
              <w:t xml:space="preserve">Care should be taken when comparing the number and proportion of low income households with that for previous reporting periods as there has been a change to reported household incomes: as of 2010–11, Commonwealth rent assistance is no longer included in household income. This will lead to an increase in the number of households identified as low income.</w:t>
            </w:r>
          </w:p>
          <w:p>
            <w:pPr>
              <w:spacing w:after="160"/>
            </w:pPr>
            <w:r>
              <w:rPr>
                <w:rStyle w:val="row-content-rich-text"/>
              </w:rPr>
              <w:t xml:space="preserve">For the total number of new applicants in the waiting list who have a 'greatest need', data are not comparable with those for years before 2009-10, where households with 'very high rental housing costs' were excluded because 'high private rental costs' is not deemed a reason for 'priority' housing in NSW.</w:t>
            </w:r>
          </w:p>
          <w:p>
            <w:pPr>
              <w:spacing w:after="160"/>
            </w:pPr>
            <w:r>
              <w:rPr>
                <w:rStyle w:val="row-content-rich-text"/>
                <w:b/>
              </w:rPr>
              <w:t xml:space="preserve">Western Australia</w:t>
            </w:r>
          </w:p>
          <w:p>
            <w:pPr/>
            <w:r>
              <w:rPr>
                <w:rStyle w:val="row-content-rich-text"/>
              </w:rPr>
              <w:t xml:space="preserve">Households and dwellings that were previously reported under the SOMIH program are, as of 2010–11, being reported under PH. As such, 2010–11 figures are not comparable with those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4b8a39eb724f28">
              <w:r>
                <w:rPr>
                  <w:rStyle w:val="Hyperlink"/>
                </w:rPr>
                <w:t xml:space="preserve">State Owned and Managed Indigenous Housing data collection, 2011-12; Quality Statement</w:t>
              </w:r>
            </w:hyperlink>
          </w:p>
          <w:p>
            <w:pPr>
              <w:pStyle w:val="registration-status"/>
              <w:spacing w:before="0" w:after="0"/>
            </w:pPr>
            <w:hyperlink w:history="true" r:id="Rcafcd413ae394ab2">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3a6e286a42a7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495764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208f998f0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e286a42a74a46" /><Relationship Type="http://schemas.openxmlformats.org/officeDocument/2006/relationships/header" Target="/word/header1.xml" Id="R0c3651a62fd5483d" /><Relationship Type="http://schemas.openxmlformats.org/officeDocument/2006/relationships/settings" Target="/word/settings.xml" Id="R201f4d775ebb4ea0" /><Relationship Type="http://schemas.openxmlformats.org/officeDocument/2006/relationships/styles" Target="/word/styles.xml" Id="Rc58278480c614d0c" /><Relationship Type="http://schemas.openxmlformats.org/officeDocument/2006/relationships/numbering" Target="/word/numbering.xml" Id="Rfd55e9f299d447d4" /><Relationship Type="http://schemas.openxmlformats.org/officeDocument/2006/relationships/hyperlink" Target="https://meteor.aihw.gov.au/RegistrationAuthority/5" TargetMode="External" Id="R29f163c0eaba4d38" /><Relationship Type="http://schemas.openxmlformats.org/officeDocument/2006/relationships/hyperlink" Target="https://meteor.aihw.gov.au/content/524909" TargetMode="External" Id="Ra74b8a39eb724f28" /><Relationship Type="http://schemas.openxmlformats.org/officeDocument/2006/relationships/hyperlink" Target="https://meteor.aihw.gov.au/RegistrationAuthority/5" TargetMode="External" Id="Rcafcd413ae394ab2" /></Relationships>
</file>

<file path=word/_rels/header1.xml.rels>&#65279;<?xml version="1.0" encoding="utf-8"?><Relationships xmlns="http://schemas.openxmlformats.org/package/2006/relationships"><Relationship Type="http://schemas.openxmlformats.org/officeDocument/2006/relationships/image" Target="/media/image.png" Id="R74f208f998f04c3b" /></Relationships>
</file>